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27B35" w14:textId="77777777" w:rsidR="00D330F7" w:rsidRPr="00FE262B" w:rsidRDefault="00D330F7" w:rsidP="00CE5D31">
      <w:pPr>
        <w:tabs>
          <w:tab w:val="right" w:pos="9360"/>
        </w:tabs>
        <w:spacing w:after="0" w:line="240" w:lineRule="auto"/>
        <w:rPr>
          <w:rFonts w:ascii="Times New Roman" w:hAnsi="Times New Roman"/>
          <w:b/>
          <w:sz w:val="24"/>
          <w:szCs w:val="24"/>
        </w:rPr>
      </w:pPr>
      <w:r w:rsidRPr="009F31F9">
        <w:rPr>
          <w:rFonts w:ascii="Times New Roman" w:hAnsi="Times New Roman"/>
          <w:b/>
        </w:rPr>
        <w:tab/>
      </w:r>
      <w:r w:rsidRPr="00FE262B">
        <w:rPr>
          <w:rFonts w:ascii="Times New Roman" w:hAnsi="Times New Roman"/>
          <w:b/>
          <w:sz w:val="24"/>
          <w:szCs w:val="24"/>
        </w:rPr>
        <w:t>UNITED STATES DISTRICT COURT</w:t>
      </w:r>
    </w:p>
    <w:p w14:paraId="474D5753" w14:textId="77777777" w:rsidR="00D330F7" w:rsidRPr="00FE262B" w:rsidRDefault="00D330F7" w:rsidP="00CE5D31">
      <w:pPr>
        <w:pBdr>
          <w:bottom w:val="single" w:sz="6" w:space="1" w:color="auto"/>
        </w:pBdr>
        <w:tabs>
          <w:tab w:val="right" w:pos="9360"/>
        </w:tabs>
        <w:spacing w:after="0" w:line="240" w:lineRule="auto"/>
        <w:rPr>
          <w:rFonts w:ascii="Times New Roman" w:hAnsi="Times New Roman"/>
          <w:b/>
          <w:sz w:val="24"/>
          <w:szCs w:val="24"/>
        </w:rPr>
      </w:pPr>
      <w:r w:rsidRPr="00FE262B">
        <w:rPr>
          <w:rFonts w:ascii="Times New Roman" w:hAnsi="Times New Roman"/>
          <w:b/>
          <w:sz w:val="24"/>
          <w:szCs w:val="24"/>
        </w:rPr>
        <w:tab/>
        <w:t>DISTRICT OF MOOT</w:t>
      </w:r>
    </w:p>
    <w:p w14:paraId="7D1BF865" w14:textId="77777777" w:rsidR="00D330F7" w:rsidRPr="00FE262B" w:rsidRDefault="00D330F7" w:rsidP="00CE5D31">
      <w:pPr>
        <w:pBdr>
          <w:bottom w:val="single" w:sz="6" w:space="1" w:color="auto"/>
        </w:pBdr>
        <w:tabs>
          <w:tab w:val="right" w:pos="9360"/>
        </w:tabs>
        <w:spacing w:after="0" w:line="240" w:lineRule="auto"/>
        <w:rPr>
          <w:rFonts w:ascii="Times New Roman" w:hAnsi="Times New Roman"/>
          <w:sz w:val="24"/>
          <w:szCs w:val="24"/>
        </w:rPr>
      </w:pPr>
    </w:p>
    <w:p w14:paraId="35153473" w14:textId="77777777" w:rsidR="00D330F7" w:rsidRPr="00FE262B" w:rsidRDefault="00D330F7" w:rsidP="00CE5D31">
      <w:pPr>
        <w:tabs>
          <w:tab w:val="right" w:pos="9360"/>
        </w:tabs>
        <w:spacing w:after="0" w:line="240" w:lineRule="auto"/>
        <w:rPr>
          <w:rFonts w:ascii="Times New Roman" w:hAnsi="Times New Roman"/>
          <w:sz w:val="24"/>
          <w:szCs w:val="24"/>
        </w:rPr>
      </w:pPr>
    </w:p>
    <w:p w14:paraId="098A0010" w14:textId="77777777" w:rsidR="00D330F7" w:rsidRPr="00FE262B" w:rsidRDefault="00D330F7" w:rsidP="00CE5D31">
      <w:pPr>
        <w:spacing w:after="0" w:line="240" w:lineRule="auto"/>
        <w:rPr>
          <w:rFonts w:ascii="Times New Roman" w:hAnsi="Times New Roman"/>
          <w:sz w:val="24"/>
          <w:szCs w:val="24"/>
        </w:rPr>
      </w:pPr>
      <w:r w:rsidRPr="00FE262B">
        <w:rPr>
          <w:rFonts w:ascii="Times New Roman" w:hAnsi="Times New Roman"/>
          <w:sz w:val="24"/>
          <w:szCs w:val="24"/>
        </w:rPr>
        <w:t>OGS TV, INC.</w:t>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t>Court File No: 27-CV-12-1234</w:t>
      </w:r>
    </w:p>
    <w:p w14:paraId="0E3128F4" w14:textId="77777777" w:rsidR="00D330F7" w:rsidRPr="00FE262B" w:rsidRDefault="00D330F7" w:rsidP="00CE5D31">
      <w:pPr>
        <w:spacing w:after="0" w:line="240" w:lineRule="auto"/>
        <w:rPr>
          <w:rFonts w:ascii="Times New Roman" w:hAnsi="Times New Roman"/>
          <w:sz w:val="24"/>
          <w:szCs w:val="24"/>
        </w:rPr>
      </w:pP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t>Judge Beatrice Fair</w:t>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t>Plaintiff,</w:t>
      </w:r>
    </w:p>
    <w:p w14:paraId="0EFCC287" w14:textId="77777777" w:rsidR="00D330F7" w:rsidRPr="00FE262B" w:rsidRDefault="00D330F7" w:rsidP="00CE5D31">
      <w:pPr>
        <w:tabs>
          <w:tab w:val="left" w:pos="5760"/>
        </w:tabs>
        <w:spacing w:after="0" w:line="240" w:lineRule="auto"/>
        <w:outlineLvl w:val="0"/>
        <w:rPr>
          <w:rFonts w:ascii="Times New Roman" w:hAnsi="Times New Roman"/>
          <w:b/>
          <w:sz w:val="24"/>
          <w:szCs w:val="24"/>
        </w:rPr>
      </w:pPr>
      <w:r w:rsidRPr="00FE262B">
        <w:rPr>
          <w:rFonts w:ascii="Times New Roman" w:hAnsi="Times New Roman"/>
          <w:b/>
          <w:sz w:val="24"/>
          <w:szCs w:val="24"/>
        </w:rPr>
        <w:t xml:space="preserve"> </w:t>
      </w:r>
      <w:r w:rsidRPr="00FE262B">
        <w:rPr>
          <w:rFonts w:ascii="Times New Roman" w:hAnsi="Times New Roman"/>
          <w:b/>
          <w:sz w:val="24"/>
          <w:szCs w:val="24"/>
        </w:rPr>
        <w:tab/>
      </w:r>
    </w:p>
    <w:p w14:paraId="11BF7D21" w14:textId="77777777" w:rsidR="00D330F7" w:rsidRPr="00FE262B" w:rsidRDefault="00D330F7" w:rsidP="00FE262B">
      <w:pPr>
        <w:tabs>
          <w:tab w:val="left" w:pos="720"/>
          <w:tab w:val="left" w:pos="7488"/>
        </w:tabs>
        <w:spacing w:after="0" w:line="240" w:lineRule="auto"/>
        <w:rPr>
          <w:rFonts w:ascii="Times New Roman" w:hAnsi="Times New Roman"/>
          <w:sz w:val="24"/>
          <w:szCs w:val="24"/>
        </w:rPr>
      </w:pPr>
      <w:r w:rsidRPr="00FE262B">
        <w:rPr>
          <w:rFonts w:ascii="Times New Roman" w:hAnsi="Times New Roman"/>
          <w:sz w:val="24"/>
          <w:szCs w:val="24"/>
        </w:rPr>
        <w:t>v.</w:t>
      </w:r>
      <w:r w:rsidRPr="00FE262B">
        <w:rPr>
          <w:rFonts w:ascii="Times New Roman" w:hAnsi="Times New Roman"/>
          <w:sz w:val="24"/>
          <w:szCs w:val="24"/>
        </w:rPr>
        <w:tab/>
      </w:r>
      <w:r w:rsidR="00FE262B">
        <w:rPr>
          <w:rFonts w:ascii="Times New Roman" w:hAnsi="Times New Roman"/>
          <w:sz w:val="24"/>
          <w:szCs w:val="24"/>
        </w:rPr>
        <w:tab/>
      </w:r>
    </w:p>
    <w:p w14:paraId="7A30046C" w14:textId="77777777" w:rsidR="00D330F7" w:rsidRPr="00FE262B" w:rsidRDefault="00D330F7" w:rsidP="00CE5D31">
      <w:pPr>
        <w:spacing w:after="0" w:line="240" w:lineRule="auto"/>
        <w:rPr>
          <w:rFonts w:ascii="Times New Roman" w:hAnsi="Times New Roman"/>
          <w:b/>
          <w:sz w:val="24"/>
          <w:szCs w:val="24"/>
        </w:rPr>
      </w:pP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t xml:space="preserve">             </w:t>
      </w:r>
      <w:r w:rsidRPr="00FE262B">
        <w:rPr>
          <w:rFonts w:ascii="Times New Roman" w:hAnsi="Times New Roman"/>
          <w:b/>
          <w:sz w:val="24"/>
          <w:szCs w:val="24"/>
        </w:rPr>
        <w:t xml:space="preserve">MEMORANDUM IN SUPPORT OF </w:t>
      </w:r>
    </w:p>
    <w:p w14:paraId="1F268E3C" w14:textId="77777777" w:rsidR="00D330F7" w:rsidRPr="00FE262B" w:rsidRDefault="00D330F7" w:rsidP="00CE5D31">
      <w:pPr>
        <w:spacing w:after="0" w:line="240" w:lineRule="auto"/>
        <w:rPr>
          <w:rFonts w:ascii="Times New Roman" w:hAnsi="Times New Roman"/>
          <w:sz w:val="24"/>
          <w:szCs w:val="24"/>
        </w:rPr>
      </w:pPr>
      <w:r w:rsidRPr="00FE262B">
        <w:rPr>
          <w:rFonts w:ascii="Times New Roman" w:hAnsi="Times New Roman"/>
          <w:sz w:val="24"/>
          <w:szCs w:val="24"/>
        </w:rPr>
        <w:t>ELIZABETH LIME, AND TINY TV, INC.</w:t>
      </w:r>
      <w:r w:rsidRPr="00FE262B">
        <w:rPr>
          <w:rFonts w:ascii="Times New Roman" w:hAnsi="Times New Roman"/>
          <w:sz w:val="24"/>
          <w:szCs w:val="24"/>
        </w:rPr>
        <w:tab/>
        <w:t xml:space="preserve">            </w:t>
      </w:r>
      <w:r w:rsidRPr="00FE262B">
        <w:rPr>
          <w:rFonts w:ascii="Times New Roman" w:hAnsi="Times New Roman"/>
          <w:b/>
          <w:sz w:val="24"/>
          <w:szCs w:val="24"/>
        </w:rPr>
        <w:t>DEFENDANT’S MOTION TO DISMISS</w:t>
      </w:r>
    </w:p>
    <w:p w14:paraId="252B55F6" w14:textId="77777777" w:rsidR="00D330F7" w:rsidRPr="00FE262B" w:rsidRDefault="00D330F7" w:rsidP="00CE5D31">
      <w:pPr>
        <w:spacing w:after="0" w:line="240" w:lineRule="auto"/>
        <w:rPr>
          <w:rFonts w:ascii="Times New Roman" w:hAnsi="Times New Roman"/>
          <w:sz w:val="24"/>
          <w:szCs w:val="24"/>
        </w:rPr>
      </w:pPr>
    </w:p>
    <w:p w14:paraId="0A8D80C2" w14:textId="77777777" w:rsidR="00D330F7" w:rsidRPr="00FE262B" w:rsidRDefault="00D330F7" w:rsidP="00CE5D31">
      <w:pPr>
        <w:pBdr>
          <w:bottom w:val="single" w:sz="6" w:space="1" w:color="auto"/>
        </w:pBdr>
        <w:spacing w:after="0" w:line="240" w:lineRule="auto"/>
        <w:outlineLvl w:val="0"/>
        <w:rPr>
          <w:rFonts w:ascii="Times New Roman" w:hAnsi="Times New Roman"/>
          <w:sz w:val="24"/>
          <w:szCs w:val="24"/>
        </w:rPr>
      </w:pP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rPr>
        <w:tab/>
        <w:t>Defendants.</w:t>
      </w:r>
    </w:p>
    <w:p w14:paraId="71914367" w14:textId="77777777" w:rsidR="00D330F7" w:rsidRPr="00FE262B" w:rsidRDefault="00D330F7" w:rsidP="00CE5D31">
      <w:pPr>
        <w:pBdr>
          <w:bottom w:val="single" w:sz="6" w:space="1" w:color="auto"/>
        </w:pBdr>
        <w:rPr>
          <w:rFonts w:ascii="Times New Roman" w:hAnsi="Times New Roman"/>
          <w:sz w:val="24"/>
          <w:szCs w:val="24"/>
        </w:rPr>
      </w:pPr>
    </w:p>
    <w:p w14:paraId="6CD3B7B5" w14:textId="77777777" w:rsidR="00D330F7" w:rsidRPr="00FE262B" w:rsidRDefault="00D330F7" w:rsidP="0069020E">
      <w:pPr>
        <w:spacing w:line="480" w:lineRule="auto"/>
        <w:ind w:firstLine="720"/>
        <w:rPr>
          <w:rFonts w:ascii="Times New Roman" w:hAnsi="Times New Roman"/>
          <w:sz w:val="24"/>
          <w:szCs w:val="24"/>
        </w:rPr>
      </w:pPr>
      <w:r w:rsidRPr="00FE262B">
        <w:rPr>
          <w:rFonts w:ascii="Times New Roman" w:hAnsi="Times New Roman"/>
          <w:sz w:val="24"/>
          <w:szCs w:val="24"/>
        </w:rPr>
        <w:t xml:space="preserve">Elizabeth Lime, and </w:t>
      </w:r>
      <w:proofErr w:type="spellStart"/>
      <w:r w:rsidRPr="00FE262B">
        <w:rPr>
          <w:rFonts w:ascii="Times New Roman" w:hAnsi="Times New Roman"/>
          <w:sz w:val="24"/>
          <w:szCs w:val="24"/>
        </w:rPr>
        <w:t>TinyTv</w:t>
      </w:r>
      <w:proofErr w:type="spellEnd"/>
      <w:r w:rsidRPr="00FE262B">
        <w:rPr>
          <w:rFonts w:ascii="Times New Roman" w:hAnsi="Times New Roman"/>
          <w:sz w:val="24"/>
          <w:szCs w:val="24"/>
        </w:rPr>
        <w:t xml:space="preserve">, </w:t>
      </w:r>
      <w:proofErr w:type="spellStart"/>
      <w:r w:rsidRPr="00FE262B">
        <w:rPr>
          <w:rFonts w:ascii="Times New Roman" w:hAnsi="Times New Roman"/>
          <w:sz w:val="24"/>
          <w:szCs w:val="24"/>
        </w:rPr>
        <w:t>Inc</w:t>
      </w:r>
      <w:proofErr w:type="spellEnd"/>
      <w:r w:rsidRPr="00FE262B">
        <w:rPr>
          <w:rFonts w:ascii="Times New Roman" w:hAnsi="Times New Roman"/>
          <w:sz w:val="24"/>
          <w:szCs w:val="24"/>
        </w:rPr>
        <w:t xml:space="preserve"> (“Defendant”) </w:t>
      </w:r>
      <w:proofErr w:type="gramStart"/>
      <w:r w:rsidRPr="00FE262B">
        <w:rPr>
          <w:rFonts w:ascii="Times New Roman" w:hAnsi="Times New Roman"/>
          <w:sz w:val="24"/>
          <w:szCs w:val="24"/>
        </w:rPr>
        <w:t>submits</w:t>
      </w:r>
      <w:proofErr w:type="gramEnd"/>
      <w:r w:rsidRPr="00FE262B">
        <w:rPr>
          <w:rFonts w:ascii="Times New Roman" w:hAnsi="Times New Roman"/>
          <w:sz w:val="24"/>
          <w:szCs w:val="24"/>
        </w:rPr>
        <w:t xml:space="preserve"> the following memorandum of law in support of its motion for dismissal on all claims by OGS, TV, Inc. (“Plaintiff”) in the above-captioned matter. </w:t>
      </w:r>
    </w:p>
    <w:p w14:paraId="113B8D2C" w14:textId="77777777" w:rsidR="00D330F7" w:rsidRPr="00FE262B" w:rsidRDefault="00D330F7" w:rsidP="00A874DA">
      <w:pPr>
        <w:spacing w:after="0" w:line="480" w:lineRule="auto"/>
        <w:jc w:val="center"/>
        <w:rPr>
          <w:rFonts w:ascii="Times New Roman" w:hAnsi="Times New Roman"/>
          <w:b/>
          <w:sz w:val="24"/>
          <w:szCs w:val="24"/>
        </w:rPr>
      </w:pPr>
      <w:r w:rsidRPr="00FE262B">
        <w:rPr>
          <w:rFonts w:ascii="Times New Roman" w:hAnsi="Times New Roman"/>
          <w:b/>
          <w:sz w:val="24"/>
          <w:szCs w:val="24"/>
        </w:rPr>
        <w:t>INTRODUCTION</w:t>
      </w:r>
    </w:p>
    <w:p w14:paraId="34A3928C" w14:textId="77777777" w:rsidR="00D330F7" w:rsidRPr="00FE262B" w:rsidRDefault="00F42F61" w:rsidP="00C267BC">
      <w:pPr>
        <w:spacing w:after="240" w:line="480" w:lineRule="auto"/>
        <w:ind w:firstLine="720"/>
        <w:rPr>
          <w:rFonts w:ascii="Times New Roman" w:hAnsi="Times New Roman"/>
          <w:sz w:val="24"/>
          <w:szCs w:val="24"/>
        </w:rPr>
      </w:pPr>
      <w:r w:rsidRPr="00FE262B">
        <w:rPr>
          <w:rFonts w:ascii="Times New Roman" w:hAnsi="Times New Roman"/>
          <w:sz w:val="24"/>
          <w:szCs w:val="24"/>
        </w:rPr>
        <w:t xml:space="preserve">All relevant sources indicate the necessity for </w:t>
      </w:r>
      <w:r w:rsidR="00045CDA">
        <w:rPr>
          <w:rFonts w:ascii="Times New Roman" w:hAnsi="Times New Roman"/>
          <w:sz w:val="24"/>
          <w:szCs w:val="24"/>
        </w:rPr>
        <w:t>a</w:t>
      </w:r>
      <w:r w:rsidRPr="00FE262B">
        <w:rPr>
          <w:rFonts w:ascii="Times New Roman" w:hAnsi="Times New Roman"/>
          <w:sz w:val="24"/>
          <w:szCs w:val="24"/>
        </w:rPr>
        <w:t xml:space="preserve"> written agreement</w:t>
      </w:r>
      <w:r w:rsidR="00045CDA">
        <w:rPr>
          <w:rFonts w:ascii="Times New Roman" w:hAnsi="Times New Roman"/>
          <w:sz w:val="24"/>
          <w:szCs w:val="24"/>
        </w:rPr>
        <w:t xml:space="preserve"> prior to the creation of the work</w:t>
      </w:r>
      <w:r w:rsidRPr="00FE262B">
        <w:rPr>
          <w:rFonts w:ascii="Times New Roman" w:hAnsi="Times New Roman"/>
          <w:sz w:val="24"/>
          <w:szCs w:val="24"/>
        </w:rPr>
        <w:t>.</w:t>
      </w:r>
      <w:r w:rsidR="00D330F7" w:rsidRPr="00FE262B">
        <w:rPr>
          <w:rFonts w:ascii="Times New Roman" w:hAnsi="Times New Roman"/>
          <w:sz w:val="24"/>
          <w:szCs w:val="24"/>
        </w:rPr>
        <w:t xml:space="preserve"> The plain language of the Copyright Act of 1976 </w:t>
      </w:r>
      <w:r w:rsidR="00045CDA">
        <w:rPr>
          <w:rFonts w:ascii="Times New Roman" w:hAnsi="Times New Roman"/>
          <w:sz w:val="24"/>
          <w:szCs w:val="24"/>
        </w:rPr>
        <w:t>demonstrates</w:t>
      </w:r>
      <w:r w:rsidR="00D330F7" w:rsidRPr="00FE262B">
        <w:rPr>
          <w:rFonts w:ascii="Times New Roman" w:hAnsi="Times New Roman"/>
          <w:sz w:val="24"/>
          <w:szCs w:val="24"/>
        </w:rPr>
        <w:t xml:space="preserve"> that the “work for hire” provision requires a pre-creation written agreement, given the legislature</w:t>
      </w:r>
      <w:r w:rsidR="00B844FB" w:rsidRPr="00FE262B">
        <w:rPr>
          <w:rFonts w:ascii="Times New Roman" w:hAnsi="Times New Roman"/>
          <w:sz w:val="24"/>
          <w:szCs w:val="24"/>
        </w:rPr>
        <w:t>’s use of the word “shall</w:t>
      </w:r>
      <w:r w:rsidR="00D330F7" w:rsidRPr="00FE262B">
        <w:rPr>
          <w:rFonts w:ascii="Times New Roman" w:hAnsi="Times New Roman"/>
          <w:sz w:val="24"/>
          <w:szCs w:val="24"/>
        </w:rPr>
        <w:t>.</w:t>
      </w:r>
      <w:r w:rsidR="00B844FB" w:rsidRPr="00FE262B">
        <w:rPr>
          <w:rFonts w:ascii="Times New Roman" w:hAnsi="Times New Roman"/>
          <w:sz w:val="24"/>
          <w:szCs w:val="24"/>
        </w:rPr>
        <w:t>”</w:t>
      </w:r>
      <w:r w:rsidR="00D330F7" w:rsidRPr="00FE262B">
        <w:rPr>
          <w:rFonts w:ascii="Times New Roman" w:hAnsi="Times New Roman"/>
          <w:b/>
          <w:sz w:val="24"/>
          <w:szCs w:val="24"/>
        </w:rPr>
        <w:t xml:space="preserve"> </w:t>
      </w:r>
      <w:r w:rsidR="00D330F7" w:rsidRPr="00FE262B">
        <w:rPr>
          <w:rFonts w:ascii="Times New Roman" w:hAnsi="Times New Roman"/>
          <w:sz w:val="24"/>
          <w:szCs w:val="24"/>
        </w:rPr>
        <w:t>Furthermore, reading the “work made for hire” provision to not require a pre-creation signed instrument makes the “Execution of transfers of copyright ownership” provision of the statute redundant. In addition to the plain language of the Act, the revisers of the bill intended for the “work for hire” provision to require a pre-creation signature of a written document as the legislature intended to put the power back into the hands of the creator by enhancing clarity, predictability and marketability</w:t>
      </w:r>
      <w:r w:rsidR="00B844FB" w:rsidRPr="00FE262B">
        <w:rPr>
          <w:rFonts w:ascii="Times New Roman" w:hAnsi="Times New Roman"/>
          <w:sz w:val="24"/>
          <w:szCs w:val="24"/>
        </w:rPr>
        <w:t xml:space="preserve">. </w:t>
      </w:r>
      <w:r w:rsidR="00D330F7" w:rsidRPr="00FE262B">
        <w:rPr>
          <w:rFonts w:ascii="Times New Roman" w:hAnsi="Times New Roman"/>
          <w:sz w:val="24"/>
          <w:szCs w:val="24"/>
        </w:rPr>
        <w:t>A statement by the Copyright office that the Act requires a pre-creation written agreement should be given great weight as it provides context in understanding the atmosphere in which the revised Act was created</w:t>
      </w:r>
      <w:r w:rsidRPr="00FE262B">
        <w:rPr>
          <w:rFonts w:ascii="Times New Roman" w:hAnsi="Times New Roman"/>
          <w:sz w:val="24"/>
          <w:szCs w:val="24"/>
        </w:rPr>
        <w:t>. The</w:t>
      </w:r>
      <w:r w:rsidR="00D330F7" w:rsidRPr="00FE262B">
        <w:rPr>
          <w:rFonts w:ascii="Times New Roman" w:hAnsi="Times New Roman"/>
          <w:sz w:val="24"/>
          <w:szCs w:val="24"/>
        </w:rPr>
        <w:t xml:space="preserve"> requiring of a pre-creation written instrument, as was held by the Seventh and Ninth Circuit Courts, is the approach that fits most </w:t>
      </w:r>
      <w:r w:rsidR="00D330F7" w:rsidRPr="00FE262B">
        <w:rPr>
          <w:rFonts w:ascii="Times New Roman" w:hAnsi="Times New Roman"/>
          <w:sz w:val="24"/>
          <w:szCs w:val="24"/>
        </w:rPr>
        <w:lastRenderedPageBreak/>
        <w:t xml:space="preserve">closely with the purposes of the Act, as laid out by the legislative history. Finally, as a policy matter, the default should be for the court to reserve any copyright ownership to the original creator of the work, especially if another party is making a claim against the original author. In the event of further uncertainty, the Rule of Lenity applies here, and dictates that the court should favor the defendant when the statute may implicate criminal penalties. Thus, the court should find that, given the lack of a pre-creation signed written agreement, Plaintiff never obtained copyright ownership of Defendant’s work, under the “work for hire” doctrine, and therefore, Defendant never infringed upon Plaintiff’s rights. </w:t>
      </w:r>
    </w:p>
    <w:p w14:paraId="0239DC3B" w14:textId="77777777" w:rsidR="00D330F7" w:rsidRPr="00FE262B" w:rsidRDefault="00D330F7" w:rsidP="00BC6831">
      <w:pPr>
        <w:spacing w:after="0" w:line="480" w:lineRule="auto"/>
        <w:jc w:val="center"/>
        <w:rPr>
          <w:rFonts w:ascii="Times New Roman" w:hAnsi="Times New Roman"/>
          <w:b/>
          <w:sz w:val="24"/>
          <w:szCs w:val="24"/>
        </w:rPr>
      </w:pPr>
      <w:r w:rsidRPr="00FE262B">
        <w:rPr>
          <w:rFonts w:ascii="Times New Roman" w:hAnsi="Times New Roman"/>
          <w:b/>
          <w:sz w:val="24"/>
          <w:szCs w:val="24"/>
        </w:rPr>
        <w:t>FACTS</w:t>
      </w:r>
    </w:p>
    <w:p w14:paraId="00C26EF9" w14:textId="77777777" w:rsidR="00D330F7" w:rsidRPr="00FE262B" w:rsidRDefault="00D330F7" w:rsidP="00BC6831">
      <w:pPr>
        <w:spacing w:after="0" w:line="480" w:lineRule="auto"/>
        <w:ind w:firstLine="720"/>
        <w:rPr>
          <w:rFonts w:ascii="Times New Roman" w:hAnsi="Times New Roman"/>
          <w:sz w:val="24"/>
          <w:szCs w:val="24"/>
        </w:rPr>
      </w:pPr>
      <w:r w:rsidRPr="00FE262B">
        <w:rPr>
          <w:rFonts w:ascii="Times New Roman" w:hAnsi="Times New Roman"/>
          <w:sz w:val="24"/>
          <w:szCs w:val="24"/>
        </w:rPr>
        <w:t>OGS TV (</w:t>
      </w:r>
      <w:r w:rsidR="00626898" w:rsidRPr="00FE262B">
        <w:rPr>
          <w:rFonts w:ascii="Times New Roman" w:hAnsi="Times New Roman"/>
          <w:sz w:val="24"/>
          <w:szCs w:val="24"/>
        </w:rPr>
        <w:t>Plaintiff</w:t>
      </w:r>
      <w:r w:rsidRPr="00FE262B">
        <w:rPr>
          <w:rFonts w:ascii="Times New Roman" w:hAnsi="Times New Roman"/>
          <w:sz w:val="24"/>
          <w:szCs w:val="24"/>
        </w:rPr>
        <w:t xml:space="preserve">) created, produced and aired an original television series entitled </w:t>
      </w:r>
      <w:r w:rsidRPr="00FE262B">
        <w:rPr>
          <w:rFonts w:ascii="Times New Roman" w:hAnsi="Times New Roman"/>
          <w:i/>
          <w:sz w:val="24"/>
          <w:szCs w:val="24"/>
        </w:rPr>
        <w:t>Lawless Love</w:t>
      </w:r>
      <w:r w:rsidRPr="00FE262B">
        <w:rPr>
          <w:rFonts w:ascii="Times New Roman" w:hAnsi="Times New Roman"/>
          <w:sz w:val="24"/>
          <w:szCs w:val="24"/>
        </w:rPr>
        <w:t xml:space="preserve">. </w:t>
      </w:r>
      <w:proofErr w:type="spellStart"/>
      <w:r w:rsidRPr="00FE262B">
        <w:rPr>
          <w:rFonts w:ascii="Times New Roman" w:hAnsi="Times New Roman"/>
          <w:sz w:val="24"/>
          <w:szCs w:val="24"/>
        </w:rPr>
        <w:t>Compl</w:t>
      </w:r>
      <w:proofErr w:type="spellEnd"/>
      <w:r w:rsidRPr="00FE262B">
        <w:rPr>
          <w:rFonts w:ascii="Times New Roman" w:hAnsi="Times New Roman"/>
          <w:sz w:val="24"/>
          <w:szCs w:val="24"/>
        </w:rPr>
        <w:t>. ¶ 5. On March 27, 2010 Plaintiff contacted Lime (</w:t>
      </w:r>
      <w:r w:rsidR="00626898" w:rsidRPr="00FE262B">
        <w:rPr>
          <w:rFonts w:ascii="Times New Roman" w:hAnsi="Times New Roman"/>
          <w:sz w:val="24"/>
          <w:szCs w:val="24"/>
        </w:rPr>
        <w:t>Defendant</w:t>
      </w:r>
      <w:r w:rsidRPr="00FE262B">
        <w:rPr>
          <w:rFonts w:ascii="Times New Roman" w:hAnsi="Times New Roman"/>
          <w:sz w:val="24"/>
          <w:szCs w:val="24"/>
        </w:rPr>
        <w:t xml:space="preserve">) to specially commission a screenplay from her for one episode of the show. </w:t>
      </w:r>
      <w:proofErr w:type="gramStart"/>
      <w:r w:rsidRPr="00FE262B">
        <w:rPr>
          <w:rFonts w:ascii="Times New Roman" w:hAnsi="Times New Roman"/>
          <w:i/>
          <w:sz w:val="24"/>
          <w:szCs w:val="24"/>
        </w:rPr>
        <w:t>Id.</w:t>
      </w:r>
      <w:r w:rsidRPr="00FE262B">
        <w:rPr>
          <w:rFonts w:ascii="Times New Roman" w:hAnsi="Times New Roman"/>
          <w:sz w:val="24"/>
          <w:szCs w:val="24"/>
        </w:rPr>
        <w:t xml:space="preserve"> ¶ 5.</w:t>
      </w:r>
      <w:proofErr w:type="gramEnd"/>
      <w:r w:rsidRPr="00FE262B">
        <w:rPr>
          <w:rFonts w:ascii="Times New Roman" w:hAnsi="Times New Roman"/>
          <w:sz w:val="24"/>
          <w:szCs w:val="24"/>
        </w:rPr>
        <w:t xml:space="preserve"> Dave Nelson is the executive producer of </w:t>
      </w:r>
      <w:r w:rsidRPr="00FE262B">
        <w:rPr>
          <w:rFonts w:ascii="Times New Roman" w:hAnsi="Times New Roman"/>
          <w:i/>
          <w:iCs/>
          <w:sz w:val="24"/>
          <w:szCs w:val="24"/>
        </w:rPr>
        <w:t>Lawless Love</w:t>
      </w:r>
      <w:r w:rsidRPr="00FE262B">
        <w:rPr>
          <w:rFonts w:ascii="Times New Roman" w:hAnsi="Times New Roman"/>
          <w:sz w:val="24"/>
          <w:szCs w:val="24"/>
        </w:rPr>
        <w:t xml:space="preserve">, and an employee and agent of Plaintiff. </w:t>
      </w:r>
      <w:proofErr w:type="gramStart"/>
      <w:r w:rsidRPr="00FE262B">
        <w:rPr>
          <w:rFonts w:ascii="Times New Roman" w:hAnsi="Times New Roman"/>
          <w:i/>
          <w:sz w:val="24"/>
          <w:szCs w:val="24"/>
        </w:rPr>
        <w:t>Id.</w:t>
      </w:r>
      <w:r w:rsidRPr="00FE262B">
        <w:rPr>
          <w:rFonts w:ascii="Times New Roman" w:hAnsi="Times New Roman"/>
          <w:sz w:val="24"/>
          <w:szCs w:val="24"/>
        </w:rPr>
        <w:t xml:space="preserve"> ¶ 10.</w:t>
      </w:r>
      <w:proofErr w:type="gramEnd"/>
    </w:p>
    <w:p w14:paraId="3E27E807" w14:textId="77777777" w:rsidR="00D330F7" w:rsidRPr="00FE262B" w:rsidRDefault="00D330F7" w:rsidP="002E3BA5">
      <w:pPr>
        <w:spacing w:after="0" w:line="480" w:lineRule="auto"/>
        <w:ind w:firstLine="720"/>
        <w:rPr>
          <w:rFonts w:ascii="Times New Roman" w:hAnsi="Times New Roman"/>
          <w:sz w:val="24"/>
          <w:szCs w:val="24"/>
        </w:rPr>
      </w:pPr>
      <w:r w:rsidRPr="00FE262B">
        <w:rPr>
          <w:rFonts w:ascii="Times New Roman" w:hAnsi="Times New Roman"/>
          <w:sz w:val="24"/>
          <w:szCs w:val="24"/>
        </w:rPr>
        <w:t xml:space="preserve">On March 27, 2010, Dave Nelson met with Defendant in the office of Plaintiff. </w:t>
      </w:r>
      <w:proofErr w:type="gramStart"/>
      <w:r w:rsidRPr="00FE262B">
        <w:rPr>
          <w:rFonts w:ascii="Times New Roman" w:hAnsi="Times New Roman"/>
          <w:i/>
          <w:sz w:val="24"/>
          <w:szCs w:val="24"/>
        </w:rPr>
        <w:t>Id.</w:t>
      </w:r>
      <w:r w:rsidRPr="00FE262B">
        <w:rPr>
          <w:rFonts w:ascii="Times New Roman" w:hAnsi="Times New Roman"/>
          <w:sz w:val="24"/>
          <w:szCs w:val="24"/>
        </w:rPr>
        <w:t xml:space="preserve"> ¶ 12.</w:t>
      </w:r>
      <w:proofErr w:type="gramEnd"/>
      <w:r w:rsidRPr="00FE262B">
        <w:rPr>
          <w:rFonts w:ascii="Times New Roman" w:hAnsi="Times New Roman"/>
          <w:sz w:val="24"/>
          <w:szCs w:val="24"/>
        </w:rPr>
        <w:t xml:space="preserve"> During the meeting, Dave Nelson and Defendant agreed orally that she would prepare a screenplay for </w:t>
      </w:r>
      <w:r w:rsidRPr="00FE262B">
        <w:rPr>
          <w:rFonts w:ascii="Times New Roman" w:hAnsi="Times New Roman"/>
          <w:i/>
          <w:iCs/>
          <w:sz w:val="24"/>
          <w:szCs w:val="24"/>
        </w:rPr>
        <w:t xml:space="preserve">Lawless Love </w:t>
      </w:r>
      <w:r w:rsidRPr="00FE262B">
        <w:rPr>
          <w:rFonts w:ascii="Times New Roman" w:hAnsi="Times New Roman"/>
          <w:sz w:val="24"/>
          <w:szCs w:val="24"/>
        </w:rPr>
        <w:t xml:space="preserve">by April 1, 2010, but signed no expressed written agreement. </w:t>
      </w:r>
      <w:proofErr w:type="gramStart"/>
      <w:r w:rsidRPr="00FE262B">
        <w:rPr>
          <w:rFonts w:ascii="Times New Roman" w:hAnsi="Times New Roman"/>
          <w:i/>
          <w:sz w:val="24"/>
          <w:szCs w:val="24"/>
        </w:rPr>
        <w:t>Id.</w:t>
      </w:r>
      <w:r w:rsidRPr="00FE262B">
        <w:rPr>
          <w:rFonts w:ascii="Times New Roman" w:hAnsi="Times New Roman"/>
          <w:sz w:val="24"/>
          <w:szCs w:val="24"/>
        </w:rPr>
        <w:t xml:space="preserve"> ¶ 20.</w:t>
      </w:r>
      <w:proofErr w:type="gramEnd"/>
      <w:r w:rsidRPr="00FE262B">
        <w:rPr>
          <w:rFonts w:ascii="Times New Roman" w:hAnsi="Times New Roman"/>
          <w:sz w:val="24"/>
          <w:szCs w:val="24"/>
        </w:rPr>
        <w:t xml:space="preserve"> On April 1, 2010, Defendant submitted a screenplay that she wrote, created, and authored entitled, “Anticipatory Repudiation.” </w:t>
      </w:r>
      <w:proofErr w:type="gramStart"/>
      <w:r w:rsidRPr="00FE262B">
        <w:rPr>
          <w:rFonts w:ascii="Times New Roman" w:hAnsi="Times New Roman"/>
          <w:i/>
          <w:sz w:val="24"/>
          <w:szCs w:val="24"/>
        </w:rPr>
        <w:t>Id.</w:t>
      </w:r>
      <w:r w:rsidRPr="00FE262B">
        <w:rPr>
          <w:rFonts w:ascii="Times New Roman" w:hAnsi="Times New Roman"/>
          <w:sz w:val="24"/>
          <w:szCs w:val="24"/>
        </w:rPr>
        <w:t xml:space="preserve"> ¶ 21.</w:t>
      </w:r>
      <w:proofErr w:type="gramEnd"/>
      <w:r w:rsidRPr="00FE262B">
        <w:rPr>
          <w:rFonts w:ascii="Times New Roman" w:hAnsi="Times New Roman"/>
          <w:sz w:val="24"/>
          <w:szCs w:val="24"/>
        </w:rPr>
        <w:t xml:space="preserve"> On April 6, 2010, defendant Lime came to the office of Plaintiff, where she picked up a check for $6,000 and signed a document labeled “Work-Made-For-Hire Agreement.”</w:t>
      </w:r>
      <w:r w:rsidRPr="00FE262B">
        <w:rPr>
          <w:rFonts w:ascii="Times New Roman" w:hAnsi="Times New Roman"/>
          <w:i/>
          <w:sz w:val="24"/>
          <w:szCs w:val="24"/>
        </w:rPr>
        <w:t xml:space="preserve"> </w:t>
      </w:r>
      <w:proofErr w:type="gramStart"/>
      <w:r w:rsidRPr="00FE262B">
        <w:rPr>
          <w:rFonts w:ascii="Times New Roman" w:hAnsi="Times New Roman"/>
          <w:i/>
          <w:sz w:val="24"/>
          <w:szCs w:val="24"/>
        </w:rPr>
        <w:t>Id.</w:t>
      </w:r>
      <w:r w:rsidRPr="00FE262B">
        <w:rPr>
          <w:rFonts w:ascii="Times New Roman" w:hAnsi="Times New Roman"/>
          <w:sz w:val="24"/>
          <w:szCs w:val="24"/>
        </w:rPr>
        <w:t xml:space="preserve"> ¶ 24.</w:t>
      </w:r>
      <w:proofErr w:type="gramEnd"/>
    </w:p>
    <w:p w14:paraId="1BFD2D68" w14:textId="77777777" w:rsidR="00D330F7" w:rsidRPr="00FE262B" w:rsidRDefault="00D330F7" w:rsidP="00575231">
      <w:pPr>
        <w:spacing w:after="0" w:line="480" w:lineRule="auto"/>
        <w:ind w:firstLine="720"/>
        <w:rPr>
          <w:rFonts w:ascii="Times New Roman" w:hAnsi="Times New Roman"/>
          <w:sz w:val="24"/>
          <w:szCs w:val="24"/>
        </w:rPr>
      </w:pPr>
      <w:r w:rsidRPr="00FE262B">
        <w:rPr>
          <w:rFonts w:ascii="Times New Roman" w:hAnsi="Times New Roman"/>
          <w:sz w:val="24"/>
          <w:szCs w:val="24"/>
        </w:rPr>
        <w:t>Plaintiff never used “Anticipatory Repudiation” for an episode in the show.</w:t>
      </w:r>
      <w:r w:rsidRPr="00FE262B">
        <w:rPr>
          <w:rFonts w:ascii="Times New Roman" w:hAnsi="Times New Roman"/>
          <w:i/>
          <w:sz w:val="24"/>
          <w:szCs w:val="24"/>
        </w:rPr>
        <w:t xml:space="preserve"> </w:t>
      </w:r>
      <w:proofErr w:type="gramStart"/>
      <w:r w:rsidRPr="00FE262B">
        <w:rPr>
          <w:rFonts w:ascii="Times New Roman" w:hAnsi="Times New Roman"/>
          <w:i/>
          <w:sz w:val="24"/>
          <w:szCs w:val="24"/>
        </w:rPr>
        <w:t>Id.</w:t>
      </w:r>
      <w:r w:rsidRPr="00FE262B">
        <w:rPr>
          <w:rFonts w:ascii="Times New Roman" w:hAnsi="Times New Roman"/>
          <w:sz w:val="24"/>
          <w:szCs w:val="24"/>
        </w:rPr>
        <w:t xml:space="preserve"> ¶ 26.</w:t>
      </w:r>
      <w:proofErr w:type="gramEnd"/>
      <w:r w:rsidRPr="00FE262B">
        <w:rPr>
          <w:rFonts w:ascii="Times New Roman" w:hAnsi="Times New Roman"/>
          <w:sz w:val="24"/>
          <w:szCs w:val="24"/>
        </w:rPr>
        <w:t xml:space="preserve"> On or about August 2, 2010, defendants, working in concert, created a new television series entitled </w:t>
      </w:r>
      <w:r w:rsidRPr="00FE262B">
        <w:rPr>
          <w:rFonts w:ascii="Times New Roman" w:hAnsi="Times New Roman"/>
          <w:i/>
          <w:iCs/>
          <w:sz w:val="24"/>
          <w:szCs w:val="24"/>
        </w:rPr>
        <w:t>The Tin Can</w:t>
      </w:r>
      <w:r w:rsidRPr="00FE262B">
        <w:rPr>
          <w:rFonts w:ascii="Times New Roman" w:hAnsi="Times New Roman"/>
          <w:sz w:val="24"/>
          <w:szCs w:val="24"/>
        </w:rPr>
        <w:t xml:space="preserve">. </w:t>
      </w:r>
      <w:r w:rsidRPr="00FE262B">
        <w:rPr>
          <w:rFonts w:ascii="Times New Roman" w:hAnsi="Times New Roman"/>
          <w:i/>
          <w:sz w:val="24"/>
          <w:szCs w:val="24"/>
        </w:rPr>
        <w:t>Id.</w:t>
      </w:r>
      <w:r w:rsidRPr="00FE262B">
        <w:rPr>
          <w:rFonts w:ascii="Times New Roman" w:hAnsi="Times New Roman"/>
          <w:sz w:val="24"/>
          <w:szCs w:val="24"/>
        </w:rPr>
        <w:t xml:space="preserve"> ¶ 27. In August 2010, defendants, working in concert, produced a screenplay</w:t>
      </w:r>
      <w:r w:rsidR="00626898" w:rsidRPr="00FE262B">
        <w:rPr>
          <w:rFonts w:ascii="Times New Roman" w:hAnsi="Times New Roman"/>
          <w:sz w:val="24"/>
          <w:szCs w:val="24"/>
        </w:rPr>
        <w:t xml:space="preserve"> </w:t>
      </w:r>
      <w:r w:rsidR="00626898" w:rsidRPr="00FE262B">
        <w:rPr>
          <w:rFonts w:ascii="Times New Roman" w:hAnsi="Times New Roman"/>
          <w:sz w:val="24"/>
          <w:szCs w:val="24"/>
        </w:rPr>
        <w:lastRenderedPageBreak/>
        <w:t>that was substantially similar to “Anticipatory Repudiation”</w:t>
      </w:r>
      <w:r w:rsidRPr="00FE262B">
        <w:rPr>
          <w:rFonts w:ascii="Times New Roman" w:hAnsi="Times New Roman"/>
          <w:sz w:val="24"/>
          <w:szCs w:val="24"/>
        </w:rPr>
        <w:t xml:space="preserve"> for the pilot episode of </w:t>
      </w:r>
      <w:r w:rsidRPr="00FE262B">
        <w:rPr>
          <w:rFonts w:ascii="Times New Roman" w:hAnsi="Times New Roman"/>
          <w:i/>
          <w:iCs/>
          <w:sz w:val="24"/>
          <w:szCs w:val="24"/>
        </w:rPr>
        <w:t>The Tin Can</w:t>
      </w:r>
      <w:r w:rsidRPr="00FE262B">
        <w:rPr>
          <w:rFonts w:ascii="Times New Roman" w:hAnsi="Times New Roman"/>
          <w:sz w:val="24"/>
          <w:szCs w:val="24"/>
        </w:rPr>
        <w:t>,</w:t>
      </w:r>
      <w:r w:rsidRPr="00FE262B">
        <w:rPr>
          <w:rFonts w:ascii="Times New Roman" w:hAnsi="Times New Roman"/>
          <w:i/>
          <w:iCs/>
          <w:sz w:val="24"/>
          <w:szCs w:val="24"/>
        </w:rPr>
        <w:t xml:space="preserve"> </w:t>
      </w:r>
      <w:r w:rsidRPr="00FE262B">
        <w:rPr>
          <w:rFonts w:ascii="Times New Roman" w:hAnsi="Times New Roman"/>
          <w:sz w:val="24"/>
          <w:szCs w:val="24"/>
        </w:rPr>
        <w:t xml:space="preserve">entitled “The Love Below.” </w:t>
      </w:r>
      <w:r w:rsidRPr="00FE262B">
        <w:rPr>
          <w:rFonts w:ascii="Times New Roman" w:hAnsi="Times New Roman"/>
          <w:i/>
          <w:sz w:val="24"/>
          <w:szCs w:val="24"/>
        </w:rPr>
        <w:t xml:space="preserve"> </w:t>
      </w:r>
      <w:proofErr w:type="gramStart"/>
      <w:r w:rsidRPr="00FE262B">
        <w:rPr>
          <w:rFonts w:ascii="Times New Roman" w:hAnsi="Times New Roman"/>
          <w:i/>
          <w:sz w:val="24"/>
          <w:szCs w:val="24"/>
        </w:rPr>
        <w:t>Id.</w:t>
      </w:r>
      <w:r w:rsidRPr="00FE262B">
        <w:rPr>
          <w:rFonts w:ascii="Times New Roman" w:hAnsi="Times New Roman"/>
          <w:sz w:val="24"/>
          <w:szCs w:val="24"/>
        </w:rPr>
        <w:t xml:space="preserve"> ¶ 28</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On September 7, 2010, defendants produced and performed the screenplay “The Love Below” on television</w:t>
      </w:r>
      <w:r w:rsidR="00B844FB" w:rsidRPr="00FE262B">
        <w:rPr>
          <w:rFonts w:ascii="Times New Roman" w:hAnsi="Times New Roman"/>
          <w:sz w:val="24"/>
          <w:szCs w:val="24"/>
        </w:rPr>
        <w:t xml:space="preserve">. </w:t>
      </w:r>
      <w:proofErr w:type="gramStart"/>
      <w:r w:rsidRPr="00FE262B">
        <w:rPr>
          <w:rFonts w:ascii="Times New Roman" w:hAnsi="Times New Roman"/>
          <w:i/>
          <w:sz w:val="24"/>
          <w:szCs w:val="24"/>
        </w:rPr>
        <w:t>Id.</w:t>
      </w:r>
      <w:r w:rsidRPr="00FE262B">
        <w:rPr>
          <w:rFonts w:ascii="Times New Roman" w:hAnsi="Times New Roman"/>
          <w:sz w:val="24"/>
          <w:szCs w:val="24"/>
        </w:rPr>
        <w:t xml:space="preserve"> ¶ 29.</w:t>
      </w:r>
      <w:proofErr w:type="gramEnd"/>
      <w:r w:rsidRPr="00FE262B">
        <w:rPr>
          <w:rFonts w:ascii="Times New Roman" w:hAnsi="Times New Roman"/>
          <w:sz w:val="24"/>
          <w:szCs w:val="24"/>
        </w:rPr>
        <w:t xml:space="preserve"> Plaintiffs claim defendants have damaged them in the sum of $86,000. </w:t>
      </w:r>
      <w:proofErr w:type="gramStart"/>
      <w:r w:rsidRPr="00FE262B">
        <w:rPr>
          <w:rFonts w:ascii="Times New Roman" w:hAnsi="Times New Roman"/>
          <w:i/>
          <w:sz w:val="24"/>
          <w:szCs w:val="24"/>
        </w:rPr>
        <w:t>Id</w:t>
      </w:r>
      <w:r w:rsidRPr="00FE262B">
        <w:rPr>
          <w:rFonts w:ascii="Times New Roman" w:hAnsi="Times New Roman"/>
          <w:sz w:val="24"/>
          <w:szCs w:val="24"/>
        </w:rPr>
        <w:t>. ¶ 30.</w:t>
      </w:r>
      <w:proofErr w:type="gramEnd"/>
    </w:p>
    <w:p w14:paraId="5AC39F7C" w14:textId="77777777" w:rsidR="00D330F7" w:rsidRPr="00FE262B" w:rsidRDefault="00D330F7" w:rsidP="00CE5D31">
      <w:pPr>
        <w:spacing w:before="100" w:beforeAutospacing="1" w:after="100" w:afterAutospacing="1" w:line="240" w:lineRule="auto"/>
        <w:jc w:val="center"/>
        <w:rPr>
          <w:rFonts w:ascii="Times New Roman" w:hAnsi="Times New Roman"/>
          <w:b/>
          <w:sz w:val="24"/>
          <w:szCs w:val="24"/>
        </w:rPr>
      </w:pPr>
      <w:r w:rsidRPr="00FE262B">
        <w:rPr>
          <w:rFonts w:ascii="Times New Roman" w:hAnsi="Times New Roman"/>
          <w:b/>
          <w:sz w:val="24"/>
          <w:szCs w:val="24"/>
        </w:rPr>
        <w:t>ARGUMENT</w:t>
      </w:r>
    </w:p>
    <w:p w14:paraId="1DCA3470" w14:textId="77777777" w:rsidR="00D330F7" w:rsidRPr="00FE262B" w:rsidRDefault="00D330F7" w:rsidP="00E54DAA">
      <w:pPr>
        <w:pStyle w:val="ListParagraph"/>
        <w:numPr>
          <w:ilvl w:val="0"/>
          <w:numId w:val="4"/>
        </w:numPr>
        <w:spacing w:after="240" w:line="240" w:lineRule="auto"/>
        <w:rPr>
          <w:rFonts w:ascii="Times New Roman" w:hAnsi="Times New Roman"/>
          <w:b/>
          <w:sz w:val="24"/>
          <w:szCs w:val="24"/>
        </w:rPr>
      </w:pPr>
      <w:r w:rsidRPr="00FE262B">
        <w:rPr>
          <w:rFonts w:ascii="Times New Roman" w:hAnsi="Times New Roman"/>
          <w:b/>
          <w:sz w:val="24"/>
          <w:szCs w:val="24"/>
        </w:rPr>
        <w:t xml:space="preserve">The plain language reading of § 101 of the Copyright Act </w:t>
      </w:r>
      <w:r w:rsidR="00626898" w:rsidRPr="00FE262B">
        <w:rPr>
          <w:rFonts w:ascii="Times New Roman" w:hAnsi="Times New Roman"/>
          <w:b/>
          <w:sz w:val="24"/>
          <w:szCs w:val="24"/>
        </w:rPr>
        <w:t>favors requiring a pre-creation signed instrument in order to constitute a “work made for hire</w:t>
      </w:r>
      <w:r w:rsidR="00B844FB" w:rsidRPr="00FE262B">
        <w:rPr>
          <w:rFonts w:ascii="Times New Roman" w:hAnsi="Times New Roman"/>
          <w:b/>
          <w:sz w:val="24"/>
          <w:szCs w:val="24"/>
        </w:rPr>
        <w:t>.</w:t>
      </w:r>
      <w:r w:rsidR="00626898" w:rsidRPr="00FE262B">
        <w:rPr>
          <w:rFonts w:ascii="Times New Roman" w:hAnsi="Times New Roman"/>
          <w:b/>
          <w:sz w:val="24"/>
          <w:szCs w:val="24"/>
        </w:rPr>
        <w:t>”</w:t>
      </w:r>
      <w:r w:rsidR="00B844FB" w:rsidRPr="00FE262B">
        <w:rPr>
          <w:rFonts w:ascii="Times New Roman" w:hAnsi="Times New Roman"/>
          <w:b/>
          <w:sz w:val="24"/>
          <w:szCs w:val="24"/>
        </w:rPr>
        <w:t xml:space="preserve"> </w:t>
      </w:r>
    </w:p>
    <w:p w14:paraId="714A5EBD" w14:textId="77777777" w:rsidR="00D330F7" w:rsidRPr="00FE262B" w:rsidRDefault="00D330F7" w:rsidP="00AD7A13">
      <w:pPr>
        <w:spacing w:line="480" w:lineRule="auto"/>
        <w:ind w:firstLine="720"/>
        <w:rPr>
          <w:rFonts w:ascii="Times New Roman" w:hAnsi="Times New Roman"/>
          <w:sz w:val="24"/>
          <w:szCs w:val="24"/>
        </w:rPr>
      </w:pPr>
      <w:r w:rsidRPr="00FE262B">
        <w:rPr>
          <w:rFonts w:ascii="Times New Roman" w:hAnsi="Times New Roman"/>
          <w:sz w:val="24"/>
          <w:szCs w:val="24"/>
        </w:rPr>
        <w:t xml:space="preserve">The plain language reading of the Copyright Act of 1976 gives little temporal guidelines as to the “works made for hire” doctrine; however, the indications it does give favor the creator of the work, or in this case, the defendant. Subsection (2) defines a “work made for hire” as: [A] work specially ordered or commissioned for use as a contribution to a collective work . . . if the parties expressly agree in a written instrument signed by them that the work shall be considered a work made for hire. </w:t>
      </w:r>
      <w:proofErr w:type="gramStart"/>
      <w:r w:rsidRPr="00FE262B">
        <w:rPr>
          <w:rFonts w:ascii="Times New Roman" w:hAnsi="Times New Roman"/>
          <w:sz w:val="24"/>
          <w:szCs w:val="24"/>
        </w:rPr>
        <w:t>17 U.S.C. § 101 (2006)</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 xml:space="preserve">The legislature’s choice to use the word “shall” shows it was referencing a work that did not yet exist at the time of the written agreement. In addition, reading the “work made for hire” definition to allow for the signature after the completion of the work makes that doctrine incompatible with the “Execution of transfers of copyright ownership” provision of the Act, and the Supreme Court has stated that statutes should be construed as to avoid internal redundancies. </w:t>
      </w:r>
      <w:proofErr w:type="gramStart"/>
      <w:r w:rsidRPr="00FE262B">
        <w:rPr>
          <w:rFonts w:ascii="Times New Roman" w:hAnsi="Times New Roman"/>
          <w:sz w:val="24"/>
          <w:szCs w:val="24"/>
          <w:u w:val="single"/>
        </w:rPr>
        <w:t xml:space="preserve">Gustafson v. </w:t>
      </w:r>
      <w:proofErr w:type="spellStart"/>
      <w:r w:rsidRPr="00FE262B">
        <w:rPr>
          <w:rFonts w:ascii="Times New Roman" w:hAnsi="Times New Roman"/>
          <w:sz w:val="24"/>
          <w:szCs w:val="24"/>
          <w:u w:val="single"/>
        </w:rPr>
        <w:t>Alloyd</w:t>
      </w:r>
      <w:proofErr w:type="spellEnd"/>
      <w:r w:rsidRPr="00FE262B">
        <w:rPr>
          <w:rFonts w:ascii="Times New Roman" w:hAnsi="Times New Roman"/>
          <w:sz w:val="24"/>
          <w:szCs w:val="24"/>
          <w:u w:val="single"/>
        </w:rPr>
        <w:t xml:space="preserve"> Co., Inc.</w:t>
      </w:r>
      <w:r w:rsidRPr="00FE262B">
        <w:rPr>
          <w:rFonts w:ascii="Times New Roman" w:hAnsi="Times New Roman"/>
          <w:sz w:val="24"/>
          <w:szCs w:val="24"/>
        </w:rPr>
        <w:t>, 513 U.S. 561, 115 (1995).</w:t>
      </w:r>
      <w:proofErr w:type="gramEnd"/>
    </w:p>
    <w:p w14:paraId="4D215F63" w14:textId="77777777" w:rsidR="00D330F7" w:rsidRPr="00FE262B" w:rsidRDefault="00D330F7" w:rsidP="001A62F8">
      <w:pPr>
        <w:pStyle w:val="ListParagraph"/>
        <w:numPr>
          <w:ilvl w:val="0"/>
          <w:numId w:val="13"/>
        </w:numPr>
        <w:spacing w:line="240" w:lineRule="auto"/>
        <w:rPr>
          <w:rFonts w:ascii="Times New Roman" w:hAnsi="Times New Roman"/>
          <w:b/>
          <w:sz w:val="24"/>
          <w:szCs w:val="24"/>
        </w:rPr>
      </w:pPr>
      <w:r w:rsidRPr="00FE262B">
        <w:rPr>
          <w:rFonts w:ascii="Times New Roman" w:hAnsi="Times New Roman"/>
          <w:b/>
          <w:sz w:val="24"/>
          <w:szCs w:val="24"/>
        </w:rPr>
        <w:t xml:space="preserve">The legislature’s use of the word “shall” shows it was referring to a work that is not yet in existence at the time of signature of the written agreement. </w:t>
      </w:r>
    </w:p>
    <w:p w14:paraId="14553401" w14:textId="77777777" w:rsidR="00D330F7" w:rsidRPr="00FE262B" w:rsidRDefault="00D330F7" w:rsidP="001A62F8">
      <w:pPr>
        <w:spacing w:after="240" w:line="480" w:lineRule="auto"/>
        <w:ind w:firstLine="720"/>
        <w:rPr>
          <w:rFonts w:ascii="Times New Roman" w:hAnsi="Times New Roman"/>
          <w:sz w:val="24"/>
          <w:szCs w:val="24"/>
        </w:rPr>
      </w:pPr>
      <w:r w:rsidRPr="00FE262B">
        <w:rPr>
          <w:rFonts w:ascii="Times New Roman" w:hAnsi="Times New Roman"/>
          <w:sz w:val="24"/>
          <w:szCs w:val="24"/>
        </w:rPr>
        <w:t xml:space="preserve">The use of the word “shall” indicates that the work at issue has not yet been created at the time the written agreement is signed. “Shall” gives an impression of something in the future. </w:t>
      </w:r>
      <w:r w:rsidRPr="00FE262B">
        <w:rPr>
          <w:rFonts w:ascii="Times New Roman" w:hAnsi="Times New Roman"/>
          <w:sz w:val="24"/>
          <w:szCs w:val="24"/>
        </w:rPr>
        <w:lastRenderedPageBreak/>
        <w:t xml:space="preserve">“Shall” is defined as “expressing simple futurity.” </w:t>
      </w:r>
      <w:r w:rsidR="00184998">
        <w:rPr>
          <w:rFonts w:ascii="Times New Roman" w:hAnsi="Times New Roman"/>
          <w:i/>
          <w:sz w:val="24"/>
          <w:szCs w:val="24"/>
        </w:rPr>
        <w:t xml:space="preserve">Shall, </w:t>
      </w:r>
      <w:r w:rsidRPr="00184998">
        <w:rPr>
          <w:rFonts w:ascii="Times New Roman" w:hAnsi="Times New Roman"/>
          <w:sz w:val="24"/>
          <w:szCs w:val="24"/>
        </w:rPr>
        <w:t>M</w:t>
      </w:r>
      <w:r w:rsidR="00184998">
        <w:rPr>
          <w:rFonts w:ascii="Times New Roman" w:hAnsi="Times New Roman"/>
          <w:sz w:val="24"/>
          <w:szCs w:val="24"/>
        </w:rPr>
        <w:t>erriam-</w:t>
      </w:r>
      <w:r w:rsidRPr="00184998">
        <w:rPr>
          <w:rFonts w:ascii="Times New Roman" w:hAnsi="Times New Roman"/>
          <w:sz w:val="24"/>
          <w:szCs w:val="24"/>
        </w:rPr>
        <w:t>Webster Dictionary</w:t>
      </w:r>
      <w:r w:rsidR="00184998">
        <w:rPr>
          <w:rFonts w:ascii="Times New Roman" w:hAnsi="Times New Roman"/>
          <w:sz w:val="24"/>
          <w:szCs w:val="24"/>
        </w:rPr>
        <w:t xml:space="preserve">, </w:t>
      </w:r>
      <w:hyperlink r:id="rId8" w:history="1">
        <w:r w:rsidR="00184998" w:rsidRPr="00184998">
          <w:rPr>
            <w:rStyle w:val="Hyperlink"/>
            <w:rFonts w:ascii="Times New Roman" w:hAnsi="Times New Roman"/>
            <w:color w:val="auto"/>
            <w:sz w:val="24"/>
            <w:szCs w:val="24"/>
            <w:u w:val="none"/>
          </w:rPr>
          <w:t>www.merriam-webster.com/dictionary/shall</w:t>
        </w:r>
      </w:hyperlink>
      <w:r w:rsidR="00184998">
        <w:rPr>
          <w:rFonts w:ascii="Times New Roman" w:hAnsi="Times New Roman"/>
          <w:sz w:val="24"/>
          <w:szCs w:val="24"/>
        </w:rPr>
        <w:t xml:space="preserve"> (last visited Feb. 29, 2012). </w:t>
      </w:r>
      <w:r w:rsidRPr="00FE262B">
        <w:rPr>
          <w:rFonts w:ascii="Times New Roman" w:hAnsi="Times New Roman"/>
          <w:sz w:val="24"/>
          <w:szCs w:val="24"/>
        </w:rPr>
        <w:t xml:space="preserve">If the legislature had said “if the parties expressly agree in a written instrument signed by them that the work </w:t>
      </w:r>
      <w:r w:rsidRPr="00FE262B">
        <w:rPr>
          <w:rFonts w:ascii="Times New Roman" w:hAnsi="Times New Roman"/>
          <w:i/>
          <w:sz w:val="24"/>
          <w:szCs w:val="24"/>
        </w:rPr>
        <w:t>is</w:t>
      </w:r>
      <w:r w:rsidRPr="00FE262B">
        <w:rPr>
          <w:rFonts w:ascii="Times New Roman" w:hAnsi="Times New Roman"/>
          <w:sz w:val="24"/>
          <w:szCs w:val="24"/>
        </w:rPr>
        <w:t xml:space="preserve"> considered a work made for hire,” then it would be clear the legislature is referring to a work that is already in existence. In contrast, the legislature chose not to put “is”</w:t>
      </w:r>
      <w:r w:rsidRPr="00FE262B">
        <w:rPr>
          <w:rFonts w:ascii="Times New Roman" w:hAnsi="Times New Roman"/>
          <w:i/>
          <w:sz w:val="24"/>
          <w:szCs w:val="24"/>
        </w:rPr>
        <w:t xml:space="preserve"> </w:t>
      </w:r>
      <w:r w:rsidRPr="00FE262B">
        <w:rPr>
          <w:rFonts w:ascii="Times New Roman" w:hAnsi="Times New Roman"/>
          <w:sz w:val="24"/>
          <w:szCs w:val="24"/>
        </w:rPr>
        <w:t>or “was”</w:t>
      </w:r>
      <w:r w:rsidRPr="00FE262B">
        <w:rPr>
          <w:rFonts w:ascii="Times New Roman" w:hAnsi="Times New Roman"/>
          <w:i/>
          <w:sz w:val="24"/>
          <w:szCs w:val="24"/>
        </w:rPr>
        <w:t xml:space="preserve">, </w:t>
      </w:r>
      <w:r w:rsidRPr="00FE262B">
        <w:rPr>
          <w:rFonts w:ascii="Times New Roman" w:hAnsi="Times New Roman"/>
          <w:sz w:val="24"/>
          <w:szCs w:val="24"/>
        </w:rPr>
        <w:t xml:space="preserve">and instead used the word “shall.” With the cautiousness that the legislature used in revising the bill, it seems unlikely it would arbitrarily pick the word “shall,” as opposed to other words, if it did not intend this effect. Carolyn M. Salzmann, </w:t>
      </w:r>
      <w:r w:rsidRPr="00FE262B">
        <w:rPr>
          <w:rFonts w:ascii="Times New Roman" w:hAnsi="Times New Roman"/>
          <w:sz w:val="24"/>
          <w:szCs w:val="24"/>
          <w:u w:val="single"/>
        </w:rPr>
        <w:t>You Commissioned It, You Bought It, but Do You Own It? The Work for Hire: Why Is Something So Simple, So Complicated</w:t>
      </w:r>
      <w:proofErr w:type="gramStart"/>
      <w:r w:rsidRPr="00FE262B">
        <w:rPr>
          <w:rFonts w:ascii="Times New Roman" w:hAnsi="Times New Roman"/>
          <w:sz w:val="24"/>
          <w:szCs w:val="24"/>
          <w:u w:val="single"/>
        </w:rPr>
        <w:t>?</w:t>
      </w:r>
      <w:r w:rsidRPr="00FE262B">
        <w:rPr>
          <w:rFonts w:ascii="Times New Roman" w:hAnsi="Times New Roman"/>
          <w:sz w:val="24"/>
          <w:szCs w:val="24"/>
        </w:rPr>
        <w:t>,</w:t>
      </w:r>
      <w:proofErr w:type="gramEnd"/>
      <w:r w:rsidRPr="00FE262B">
        <w:rPr>
          <w:rFonts w:ascii="Times New Roman" w:hAnsi="Times New Roman"/>
          <w:sz w:val="24"/>
          <w:szCs w:val="24"/>
        </w:rPr>
        <w:t xml:space="preserve"> 31 U. </w:t>
      </w:r>
      <w:proofErr w:type="spellStart"/>
      <w:r w:rsidRPr="00FE262B">
        <w:rPr>
          <w:rFonts w:ascii="Times New Roman" w:hAnsi="Times New Roman"/>
          <w:sz w:val="24"/>
          <w:szCs w:val="24"/>
        </w:rPr>
        <w:t>Tol</w:t>
      </w:r>
      <w:proofErr w:type="spellEnd"/>
      <w:r w:rsidRPr="00FE262B">
        <w:rPr>
          <w:rFonts w:ascii="Times New Roman" w:hAnsi="Times New Roman"/>
          <w:sz w:val="24"/>
          <w:szCs w:val="24"/>
        </w:rPr>
        <w:t>. L. Rev. 497, 518 (2000) (explaining the comprehensive drafting process of the Act). Thus, Congress did not include further clarification as to the temporal requirement of the signing of the agreement because the word “shall” already suggested it was referring to a work that had yet to be made</w:t>
      </w:r>
      <w:r w:rsidR="00B844FB" w:rsidRPr="00FE262B">
        <w:rPr>
          <w:rFonts w:ascii="Times New Roman" w:hAnsi="Times New Roman"/>
          <w:sz w:val="24"/>
          <w:szCs w:val="24"/>
        </w:rPr>
        <w:t xml:space="preserve">. </w:t>
      </w:r>
    </w:p>
    <w:p w14:paraId="23B8D871" w14:textId="77777777" w:rsidR="00D330F7" w:rsidRPr="00FE262B" w:rsidRDefault="00D330F7" w:rsidP="001A62F8">
      <w:pPr>
        <w:pStyle w:val="ListParagraph"/>
        <w:numPr>
          <w:ilvl w:val="0"/>
          <w:numId w:val="13"/>
        </w:numPr>
        <w:spacing w:after="240" w:line="240" w:lineRule="auto"/>
        <w:rPr>
          <w:rFonts w:ascii="Times New Roman" w:hAnsi="Times New Roman"/>
          <w:sz w:val="24"/>
          <w:szCs w:val="24"/>
        </w:rPr>
      </w:pPr>
      <w:r w:rsidRPr="00FE262B">
        <w:rPr>
          <w:rFonts w:ascii="Times New Roman" w:hAnsi="Times New Roman"/>
          <w:b/>
          <w:sz w:val="24"/>
          <w:szCs w:val="24"/>
        </w:rPr>
        <w:t>Reading the “work for hire” provision to allow for signature after the creation of the work creates redundancy in the statute</w:t>
      </w:r>
      <w:r w:rsidR="00B844FB" w:rsidRPr="00FE262B">
        <w:rPr>
          <w:rFonts w:ascii="Times New Roman" w:hAnsi="Times New Roman"/>
          <w:b/>
          <w:sz w:val="24"/>
          <w:szCs w:val="24"/>
        </w:rPr>
        <w:t xml:space="preserve">. </w:t>
      </w:r>
    </w:p>
    <w:p w14:paraId="055424DF" w14:textId="77777777" w:rsidR="00267DC7" w:rsidRPr="00FE262B" w:rsidRDefault="00D330F7" w:rsidP="00267DC7">
      <w:pPr>
        <w:spacing w:after="0" w:line="480" w:lineRule="auto"/>
        <w:ind w:firstLine="720"/>
        <w:rPr>
          <w:rFonts w:ascii="Times New Roman" w:hAnsi="Times New Roman"/>
          <w:sz w:val="24"/>
          <w:szCs w:val="24"/>
        </w:rPr>
      </w:pPr>
      <w:r w:rsidRPr="00FE262B">
        <w:rPr>
          <w:rFonts w:ascii="Times New Roman" w:hAnsi="Times New Roman"/>
          <w:sz w:val="24"/>
          <w:szCs w:val="24"/>
        </w:rPr>
        <w:t xml:space="preserve">Allowing a work made for hire agreement to be signed after the work is already completed would make that provision incompatible with the “Execution of transfers of copyright ownership” provision of the Copyright Act. The Supreme Court has ruled that the Court should avoid interpreting statutes in a way that “renders some words altogether redundant.” </w:t>
      </w:r>
      <w:r w:rsidRPr="00FE262B">
        <w:rPr>
          <w:rFonts w:ascii="Times New Roman" w:hAnsi="Times New Roman"/>
          <w:sz w:val="24"/>
          <w:szCs w:val="24"/>
          <w:u w:val="single"/>
        </w:rPr>
        <w:t>Gustafson</w:t>
      </w:r>
      <w:r w:rsidRPr="00FE262B">
        <w:rPr>
          <w:rFonts w:ascii="Times New Roman" w:hAnsi="Times New Roman"/>
          <w:sz w:val="24"/>
          <w:szCs w:val="24"/>
        </w:rPr>
        <w:t xml:space="preserve">, 513 U.S. at 115. Section 204 reads: “A transfer of copyright ownership . . . is not valid unless an instrument of conveyance, or a note or memorandum of the transfer, is in writing and signed by the owner of the rights conveyed or such owner's duly authorized agent.” </w:t>
      </w:r>
      <w:proofErr w:type="gramStart"/>
      <w:r w:rsidRPr="00FE262B">
        <w:rPr>
          <w:rFonts w:ascii="Times New Roman" w:hAnsi="Times New Roman"/>
          <w:sz w:val="24"/>
          <w:szCs w:val="24"/>
        </w:rPr>
        <w:t>17 U.S.C. § 204 (2006).</w:t>
      </w:r>
      <w:proofErr w:type="gramEnd"/>
      <w:r w:rsidRPr="00FE262B">
        <w:rPr>
          <w:rFonts w:ascii="Times New Roman" w:hAnsi="Times New Roman"/>
          <w:sz w:val="24"/>
          <w:szCs w:val="24"/>
        </w:rPr>
        <w:t xml:space="preserve"> Section 102 affords copyright to “original works of authorship fixed in any tangible medium of expression.” </w:t>
      </w:r>
      <w:proofErr w:type="gramStart"/>
      <w:r w:rsidRPr="00FE262B">
        <w:rPr>
          <w:rFonts w:ascii="Times New Roman" w:hAnsi="Times New Roman"/>
          <w:sz w:val="24"/>
          <w:szCs w:val="24"/>
        </w:rPr>
        <w:t>17 U.S.C. § 102 (2006).</w:t>
      </w:r>
      <w:proofErr w:type="gramEnd"/>
      <w:r w:rsidRPr="00FE262B">
        <w:rPr>
          <w:rFonts w:ascii="Times New Roman" w:hAnsi="Times New Roman"/>
          <w:sz w:val="24"/>
          <w:szCs w:val="24"/>
        </w:rPr>
        <w:t xml:space="preserve"> Section 101 defines when a work is “created” and “fixed” respectively as “the portion of it that has been fixed at any particular time” and </w:t>
      </w:r>
      <w:r w:rsidRPr="00FE262B">
        <w:rPr>
          <w:rFonts w:ascii="Times New Roman" w:hAnsi="Times New Roman"/>
          <w:sz w:val="24"/>
          <w:szCs w:val="24"/>
        </w:rPr>
        <w:lastRenderedPageBreak/>
        <w:t xml:space="preserve">“sufficiently permanent or stable.” </w:t>
      </w:r>
      <w:proofErr w:type="gramStart"/>
      <w:r w:rsidRPr="00FE262B">
        <w:rPr>
          <w:rFonts w:ascii="Times New Roman" w:hAnsi="Times New Roman"/>
          <w:sz w:val="24"/>
          <w:szCs w:val="24"/>
        </w:rPr>
        <w:t>17 U.S.C. § 101 (2006).</w:t>
      </w:r>
      <w:proofErr w:type="gramEnd"/>
      <w:r w:rsidRPr="00FE262B">
        <w:rPr>
          <w:rFonts w:ascii="Times New Roman" w:hAnsi="Times New Roman"/>
          <w:sz w:val="24"/>
          <w:szCs w:val="24"/>
        </w:rPr>
        <w:t xml:space="preserve"> Given these provisions, uncompleted works or works that are still in progress should receive copyright protection. The moment a creator begins the work, an initial copyright interest would belong to that person. At the point of completion, a transfer of ownership statutory form would then be more appropriate than a “work for hire” agreement. If the court allowed for the signing of the agreement to be after commencement of the work, the work for hire writing would become an alternative for the statutory form of copyright ownership transfer. With no prior written agreement, both the “work for hire” and the “express transfer of ownership” provisions would apply, and, thus, be in conflict. </w:t>
      </w:r>
      <w:r w:rsidR="00267DC7" w:rsidRPr="00FE262B">
        <w:rPr>
          <w:rFonts w:ascii="Times New Roman" w:hAnsi="Times New Roman"/>
          <w:sz w:val="24"/>
          <w:szCs w:val="24"/>
        </w:rPr>
        <w:t xml:space="preserve">It is counter-intuitive to imagine that Congress, after years of deliberation on amending the Copyright Act of 1909, would design redundancies into the statute or allow uncertainty as to ownership to become a factor. </w:t>
      </w:r>
      <w:proofErr w:type="gramStart"/>
      <w:r w:rsidR="00267DC7" w:rsidRPr="00FE262B">
        <w:rPr>
          <w:rFonts w:ascii="Times New Roman" w:hAnsi="Times New Roman"/>
          <w:sz w:val="24"/>
          <w:szCs w:val="24"/>
        </w:rPr>
        <w:t xml:space="preserve">Salzmann, </w:t>
      </w:r>
      <w:r w:rsidR="00267DC7" w:rsidRPr="00FE262B">
        <w:rPr>
          <w:rFonts w:ascii="Times New Roman" w:hAnsi="Times New Roman"/>
          <w:sz w:val="24"/>
          <w:szCs w:val="24"/>
          <w:u w:val="single"/>
        </w:rPr>
        <w:t>supra,</w:t>
      </w:r>
      <w:r w:rsidR="00267DC7" w:rsidRPr="00FE262B">
        <w:rPr>
          <w:rFonts w:ascii="Times New Roman" w:hAnsi="Times New Roman"/>
          <w:sz w:val="24"/>
          <w:szCs w:val="24"/>
        </w:rPr>
        <w:t xml:space="preserve"> at 518.</w:t>
      </w:r>
      <w:proofErr w:type="gramEnd"/>
      <w:r w:rsidR="00267DC7" w:rsidRPr="00FE262B">
        <w:rPr>
          <w:rFonts w:ascii="Times New Roman" w:hAnsi="Times New Roman"/>
          <w:sz w:val="24"/>
          <w:szCs w:val="24"/>
        </w:rPr>
        <w:t xml:space="preserve">  </w:t>
      </w:r>
      <w:r w:rsidRPr="00FE262B">
        <w:rPr>
          <w:rFonts w:ascii="Times New Roman" w:hAnsi="Times New Roman"/>
          <w:sz w:val="24"/>
          <w:szCs w:val="24"/>
        </w:rPr>
        <w:t>Therefore, the Act should be read to require the signing of a “work made for hire” agreement prior to the commencement of the work to avoid</w:t>
      </w:r>
      <w:r w:rsidR="00267DC7" w:rsidRPr="00FE262B">
        <w:rPr>
          <w:rFonts w:ascii="Times New Roman" w:hAnsi="Times New Roman"/>
          <w:sz w:val="24"/>
          <w:szCs w:val="24"/>
        </w:rPr>
        <w:t xml:space="preserve"> this redundancy</w:t>
      </w:r>
      <w:r w:rsidRPr="00FE262B">
        <w:rPr>
          <w:rFonts w:ascii="Times New Roman" w:hAnsi="Times New Roman"/>
          <w:sz w:val="24"/>
          <w:szCs w:val="24"/>
        </w:rPr>
        <w:t xml:space="preserve">. Thus, the plain language reading of the Act seems to favor a pre-creation written requirement, given that taken together, the use of the word “shall” and the fact </w:t>
      </w:r>
      <w:r w:rsidR="00267DC7" w:rsidRPr="00FE262B">
        <w:rPr>
          <w:rFonts w:ascii="Times New Roman" w:hAnsi="Times New Roman"/>
          <w:sz w:val="24"/>
          <w:szCs w:val="24"/>
        </w:rPr>
        <w:t xml:space="preserve">that reading the statute otherwise would create an internal redundancy in the statute. </w:t>
      </w:r>
    </w:p>
    <w:p w14:paraId="08172CDF" w14:textId="77777777" w:rsidR="00D330F7" w:rsidRPr="00FE262B" w:rsidRDefault="00D330F7" w:rsidP="00267DC7">
      <w:pPr>
        <w:spacing w:after="0" w:line="480" w:lineRule="auto"/>
        <w:rPr>
          <w:rFonts w:ascii="Times New Roman" w:hAnsi="Times New Roman"/>
          <w:sz w:val="24"/>
          <w:szCs w:val="24"/>
        </w:rPr>
      </w:pPr>
    </w:p>
    <w:p w14:paraId="7C2120C7" w14:textId="77777777" w:rsidR="00D330F7" w:rsidRPr="00FE262B" w:rsidRDefault="00D330F7" w:rsidP="00B2516D">
      <w:pPr>
        <w:pStyle w:val="ListParagraph"/>
        <w:numPr>
          <w:ilvl w:val="0"/>
          <w:numId w:val="2"/>
        </w:numPr>
        <w:spacing w:after="240" w:line="240" w:lineRule="auto"/>
        <w:rPr>
          <w:rFonts w:ascii="Times New Roman" w:hAnsi="Times New Roman"/>
          <w:b/>
          <w:sz w:val="24"/>
          <w:szCs w:val="24"/>
        </w:rPr>
      </w:pPr>
      <w:r w:rsidRPr="00FE262B">
        <w:rPr>
          <w:rFonts w:ascii="Times New Roman" w:hAnsi="Times New Roman"/>
          <w:b/>
          <w:sz w:val="24"/>
          <w:szCs w:val="24"/>
        </w:rPr>
        <w:t xml:space="preserve">The legislative history of the Copyright Act indicates that the revisers of the bill intended for the “work for hire” provision to require a pre-creation signature. </w:t>
      </w:r>
    </w:p>
    <w:p w14:paraId="1DF37439" w14:textId="77777777" w:rsidR="00D330F7" w:rsidRPr="00FE262B" w:rsidRDefault="00D330F7" w:rsidP="00267DC7">
      <w:pPr>
        <w:spacing w:after="0" w:line="480" w:lineRule="auto"/>
        <w:ind w:firstLine="720"/>
        <w:rPr>
          <w:rFonts w:ascii="Times New Roman" w:hAnsi="Times New Roman"/>
          <w:b/>
          <w:sz w:val="24"/>
          <w:szCs w:val="24"/>
        </w:rPr>
      </w:pPr>
      <w:r w:rsidRPr="00FE262B">
        <w:rPr>
          <w:rFonts w:ascii="Times New Roman" w:hAnsi="Times New Roman"/>
          <w:sz w:val="24"/>
          <w:szCs w:val="24"/>
        </w:rPr>
        <w:t xml:space="preserve">Given the unclear nature of the plain language of the statute, the legislative history and purpose behind the “works made for hire” doctrine </w:t>
      </w:r>
      <w:r w:rsidR="00267DC7" w:rsidRPr="00FE262B">
        <w:rPr>
          <w:rFonts w:ascii="Times New Roman" w:hAnsi="Times New Roman"/>
          <w:sz w:val="24"/>
          <w:szCs w:val="24"/>
        </w:rPr>
        <w:t>takes on increased importance</w:t>
      </w:r>
      <w:r w:rsidRPr="00FE262B">
        <w:rPr>
          <w:rFonts w:ascii="Times New Roman" w:hAnsi="Times New Roman"/>
          <w:sz w:val="24"/>
          <w:szCs w:val="24"/>
        </w:rPr>
        <w:t xml:space="preserve">. The methods used by the courts prior to the revision of the Act evidenced a bias against the creator of the work which the legislature sought to eliminate in the revised version. The legislature’s purposes of putting the power back in the hands of the creator, and enhancing predictability, clarity, and marketability can only be served by the requirement of a pre-creation written agreement. Last, </w:t>
      </w:r>
      <w:r w:rsidRPr="00FE262B">
        <w:rPr>
          <w:rFonts w:ascii="Times New Roman" w:hAnsi="Times New Roman"/>
          <w:sz w:val="24"/>
          <w:szCs w:val="24"/>
        </w:rPr>
        <w:lastRenderedPageBreak/>
        <w:t>Barbara Ringer’s statements, as reviser of the Act, should be given great weight, given that she was physically present at the time of the drafting and would be as qualified as anyone to comment on the revised Act’s function and purpose at the time it was written.</w:t>
      </w:r>
    </w:p>
    <w:p w14:paraId="1FBE60FC" w14:textId="77777777" w:rsidR="00D330F7" w:rsidRPr="00FE262B" w:rsidRDefault="00D330F7" w:rsidP="00267DC7">
      <w:pPr>
        <w:pStyle w:val="ListParagraph"/>
        <w:numPr>
          <w:ilvl w:val="0"/>
          <w:numId w:val="1"/>
        </w:numPr>
        <w:spacing w:after="0" w:line="240" w:lineRule="auto"/>
        <w:rPr>
          <w:rFonts w:ascii="Times New Roman" w:hAnsi="Times New Roman"/>
          <w:b/>
          <w:sz w:val="24"/>
          <w:szCs w:val="24"/>
        </w:rPr>
      </w:pPr>
      <w:r w:rsidRPr="00FE262B">
        <w:rPr>
          <w:rFonts w:ascii="Times New Roman" w:hAnsi="Times New Roman"/>
          <w:b/>
          <w:sz w:val="24"/>
          <w:szCs w:val="24"/>
        </w:rPr>
        <w:t xml:space="preserve">The precursor to the Copyright Act of 1976 was interpreted by courts in a way that made it difficult for an artist to retain copyright protection. </w:t>
      </w:r>
    </w:p>
    <w:p w14:paraId="659B78D0" w14:textId="77777777" w:rsidR="00267DC7" w:rsidRPr="00FE262B" w:rsidRDefault="00267DC7" w:rsidP="00267DC7">
      <w:pPr>
        <w:pStyle w:val="ListParagraph"/>
        <w:spacing w:after="0" w:line="240" w:lineRule="auto"/>
        <w:ind w:left="2520"/>
        <w:rPr>
          <w:rFonts w:ascii="Times New Roman" w:hAnsi="Times New Roman"/>
          <w:b/>
          <w:sz w:val="24"/>
          <w:szCs w:val="24"/>
        </w:rPr>
      </w:pPr>
    </w:p>
    <w:p w14:paraId="1876B887" w14:textId="77777777" w:rsidR="00D330F7" w:rsidRPr="00FE262B" w:rsidRDefault="00D330F7" w:rsidP="00267DC7">
      <w:pPr>
        <w:spacing w:after="0" w:line="480" w:lineRule="auto"/>
        <w:ind w:firstLine="720"/>
        <w:rPr>
          <w:rFonts w:ascii="Times New Roman" w:hAnsi="Times New Roman"/>
          <w:b/>
          <w:sz w:val="24"/>
          <w:szCs w:val="24"/>
        </w:rPr>
      </w:pPr>
      <w:r w:rsidRPr="00FE262B">
        <w:rPr>
          <w:rFonts w:ascii="Times New Roman" w:hAnsi="Times New Roman"/>
          <w:sz w:val="24"/>
          <w:szCs w:val="24"/>
        </w:rPr>
        <w:t xml:space="preserve">Congress intended the Copyright Act of 1976 to increase the creator’s ability to retain rights to his/her work. Prior to the revision of the Act, one of the tests used by the courts to decide who acquired the copyright rights to the work was the “insistence and expense” test. </w:t>
      </w:r>
      <w:proofErr w:type="gramStart"/>
      <w:r w:rsidRPr="00FE262B">
        <w:rPr>
          <w:rFonts w:ascii="Times New Roman" w:hAnsi="Times New Roman"/>
          <w:sz w:val="24"/>
          <w:szCs w:val="24"/>
          <w:u w:val="single"/>
        </w:rPr>
        <w:t xml:space="preserve">Siegel v. Nat’l Periodical </w:t>
      </w:r>
      <w:proofErr w:type="spellStart"/>
      <w:r w:rsidRPr="00FE262B">
        <w:rPr>
          <w:rFonts w:ascii="Times New Roman" w:hAnsi="Times New Roman"/>
          <w:sz w:val="24"/>
          <w:szCs w:val="24"/>
          <w:u w:val="single"/>
        </w:rPr>
        <w:t>Publ’ns</w:t>
      </w:r>
      <w:proofErr w:type="spellEnd"/>
      <w:r w:rsidRPr="00FE262B">
        <w:rPr>
          <w:rFonts w:ascii="Times New Roman" w:hAnsi="Times New Roman"/>
          <w:sz w:val="24"/>
          <w:szCs w:val="24"/>
        </w:rPr>
        <w:t>, Inc., 508 F.2d 909 (2d Cir. 1974).</w:t>
      </w:r>
      <w:proofErr w:type="gramEnd"/>
      <w:r w:rsidRPr="00FE262B">
        <w:rPr>
          <w:rFonts w:ascii="Times New Roman" w:hAnsi="Times New Roman"/>
          <w:sz w:val="24"/>
          <w:szCs w:val="24"/>
        </w:rPr>
        <w:t xml:space="preserve"> This test looked at whether the work was made at the insistence and expense of the commissioner to determine ownership rights. This test proved to be a very low threshold for the commissioner of the work to acquire the rights to the work</w:t>
      </w:r>
      <w:r w:rsidR="00B844FB" w:rsidRPr="00FE262B">
        <w:rPr>
          <w:rFonts w:ascii="Times New Roman" w:hAnsi="Times New Roman"/>
          <w:sz w:val="24"/>
          <w:szCs w:val="24"/>
        </w:rPr>
        <w:t xml:space="preserve">. </w:t>
      </w:r>
      <w:r w:rsidRPr="00FE262B">
        <w:rPr>
          <w:rFonts w:ascii="Times New Roman" w:hAnsi="Times New Roman"/>
          <w:sz w:val="24"/>
          <w:szCs w:val="24"/>
        </w:rPr>
        <w:t xml:space="preserve"> Another court used a test that focused on the nature or existence of the compensation paid to the creator. </w:t>
      </w:r>
      <w:r w:rsidRPr="00FE262B">
        <w:rPr>
          <w:rFonts w:ascii="Times New Roman" w:hAnsi="Times New Roman"/>
          <w:sz w:val="24"/>
          <w:szCs w:val="24"/>
          <w:u w:val="single"/>
        </w:rPr>
        <w:t xml:space="preserve">Epoch Producing Corp. v. </w:t>
      </w:r>
      <w:proofErr w:type="spellStart"/>
      <w:r w:rsidRPr="00FE262B">
        <w:rPr>
          <w:rFonts w:ascii="Times New Roman" w:hAnsi="Times New Roman"/>
          <w:sz w:val="24"/>
          <w:szCs w:val="24"/>
          <w:u w:val="single"/>
        </w:rPr>
        <w:t>Killiam</w:t>
      </w:r>
      <w:proofErr w:type="spellEnd"/>
      <w:r w:rsidRPr="00FE262B">
        <w:rPr>
          <w:rFonts w:ascii="Times New Roman" w:hAnsi="Times New Roman"/>
          <w:sz w:val="24"/>
          <w:szCs w:val="24"/>
          <w:u w:val="single"/>
        </w:rPr>
        <w:t xml:space="preserve"> Shows, Inc.</w:t>
      </w:r>
      <w:r w:rsidRPr="00FE262B">
        <w:rPr>
          <w:rFonts w:ascii="Times New Roman" w:hAnsi="Times New Roman"/>
          <w:sz w:val="24"/>
          <w:szCs w:val="24"/>
        </w:rPr>
        <w:t xml:space="preserve">, 522 F.2d 737 (2d Cir. 1975). Both of these tests used by the courts lent a significant advantage to the commissioner of the work in acquiring copyright ownership, as well as led to confusion. The court’s interpretation prior to 1976 “developed into an almost </w:t>
      </w:r>
      <w:proofErr w:type="spellStart"/>
      <w:r w:rsidRPr="00FE262B">
        <w:rPr>
          <w:rFonts w:ascii="Times New Roman" w:hAnsi="Times New Roman"/>
          <w:sz w:val="24"/>
          <w:szCs w:val="24"/>
        </w:rPr>
        <w:t>irrebuttable</w:t>
      </w:r>
      <w:proofErr w:type="spellEnd"/>
      <w:r w:rsidRPr="00FE262B">
        <w:rPr>
          <w:rFonts w:ascii="Times New Roman" w:hAnsi="Times New Roman"/>
          <w:sz w:val="24"/>
          <w:szCs w:val="24"/>
        </w:rPr>
        <w:t xml:space="preserve"> presumption that any person who paid another to create a copyrightable work was the statutory ‘author’ under the ‘work for hire’ doctrine.” Catherine A. Kling, </w:t>
      </w:r>
      <w:r w:rsidRPr="00FE262B">
        <w:rPr>
          <w:rFonts w:ascii="Times New Roman" w:hAnsi="Times New Roman"/>
          <w:sz w:val="24"/>
          <w:szCs w:val="24"/>
          <w:u w:val="single"/>
        </w:rPr>
        <w:t>The Work Made for Hire Doctrine Under the Copyright Act of 1976: Employees, Independent Contractors and the Actual Control Test</w:t>
      </w:r>
      <w:r w:rsidRPr="00FE262B">
        <w:rPr>
          <w:rFonts w:ascii="Times New Roman" w:hAnsi="Times New Roman"/>
          <w:sz w:val="24"/>
          <w:szCs w:val="24"/>
        </w:rPr>
        <w:t xml:space="preserve">, 22 Ind. L. Rev. 619, 626 (1989). Under this presumption, artists could not retain the copyrights in their own works unless they created the works entirely alone, at their own expense, in their dwelling and prior to contacting any interested buyers. “Artists who manage to retain their artistic freedom when they create works, in reality, do not intend to give all reproduction rights </w:t>
      </w:r>
      <w:r w:rsidRPr="00FE262B">
        <w:rPr>
          <w:rFonts w:ascii="Times New Roman" w:hAnsi="Times New Roman"/>
          <w:sz w:val="24"/>
          <w:szCs w:val="24"/>
        </w:rPr>
        <w:lastRenderedPageBreak/>
        <w:t xml:space="preserve">to employers who contributed nothing except funds to the creation.” </w:t>
      </w:r>
      <w:proofErr w:type="gramStart"/>
      <w:r w:rsidRPr="00FE262B">
        <w:rPr>
          <w:rFonts w:ascii="Times New Roman" w:hAnsi="Times New Roman"/>
          <w:sz w:val="24"/>
          <w:szCs w:val="24"/>
        </w:rPr>
        <w:t xml:space="preserve">Salzmann, </w:t>
      </w:r>
      <w:r w:rsidRPr="00FE262B">
        <w:rPr>
          <w:rFonts w:ascii="Times New Roman" w:hAnsi="Times New Roman"/>
          <w:sz w:val="24"/>
          <w:szCs w:val="24"/>
          <w:u w:val="single"/>
        </w:rPr>
        <w:t>supra,</w:t>
      </w:r>
      <w:r w:rsidRPr="00FE262B">
        <w:rPr>
          <w:rFonts w:ascii="Times New Roman" w:hAnsi="Times New Roman"/>
          <w:sz w:val="24"/>
          <w:szCs w:val="24"/>
        </w:rPr>
        <w:t xml:space="preserve"> at 626</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 xml:space="preserve">Thus, the way the court interpreted the Act, before the 1976 revision, made it very difficult for creators to retain the rights to their own work, and the legislature intended to restore that power back to the creator. </w:t>
      </w:r>
    </w:p>
    <w:p w14:paraId="1D91DB47" w14:textId="77777777" w:rsidR="00D330F7" w:rsidRPr="00FE262B" w:rsidRDefault="00D330F7" w:rsidP="00267DC7">
      <w:pPr>
        <w:pStyle w:val="ListParagraph"/>
        <w:numPr>
          <w:ilvl w:val="0"/>
          <w:numId w:val="1"/>
        </w:numPr>
        <w:spacing w:after="0" w:line="240" w:lineRule="auto"/>
        <w:rPr>
          <w:rFonts w:ascii="Times New Roman" w:hAnsi="Times New Roman"/>
          <w:b/>
          <w:sz w:val="24"/>
          <w:szCs w:val="24"/>
        </w:rPr>
      </w:pPr>
      <w:r w:rsidRPr="00FE262B">
        <w:rPr>
          <w:rFonts w:ascii="Times New Roman" w:hAnsi="Times New Roman"/>
          <w:b/>
          <w:sz w:val="24"/>
          <w:szCs w:val="24"/>
        </w:rPr>
        <w:t xml:space="preserve">The primary goal of the legislature in creating the Copyright Act of 1976 was to put the power back into the hands of the creator. </w:t>
      </w:r>
    </w:p>
    <w:p w14:paraId="7F95EA29" w14:textId="77777777" w:rsidR="00D330F7" w:rsidRPr="00FE262B" w:rsidRDefault="00D330F7" w:rsidP="00B2516D">
      <w:pPr>
        <w:pStyle w:val="ListParagraph"/>
        <w:spacing w:after="0" w:line="240" w:lineRule="auto"/>
        <w:ind w:left="2520"/>
        <w:rPr>
          <w:rFonts w:ascii="Times New Roman" w:hAnsi="Times New Roman"/>
          <w:sz w:val="24"/>
          <w:szCs w:val="24"/>
        </w:rPr>
      </w:pPr>
    </w:p>
    <w:p w14:paraId="35453004" w14:textId="77777777" w:rsidR="00D330F7" w:rsidRPr="00FE262B" w:rsidRDefault="00D330F7" w:rsidP="00B2516D">
      <w:pPr>
        <w:spacing w:after="0" w:line="480" w:lineRule="auto"/>
        <w:ind w:firstLine="720"/>
        <w:rPr>
          <w:rFonts w:ascii="Times New Roman" w:hAnsi="Times New Roman"/>
          <w:sz w:val="24"/>
          <w:szCs w:val="24"/>
        </w:rPr>
      </w:pPr>
      <w:r w:rsidRPr="00FE262B">
        <w:rPr>
          <w:rFonts w:ascii="Times New Roman" w:hAnsi="Times New Roman"/>
          <w:sz w:val="24"/>
          <w:szCs w:val="24"/>
        </w:rPr>
        <w:t xml:space="preserve">In response to the skewed nature of the Copyright Act of 1909, and the correlating interpretations by the courts, the legislatures proposed many changes to advantage the creator. In the preliminary draft of the bill, “work for hire” was defined as “a work prepared by an employee within the scope of the duties of his employment, but not including a work made on special order or commission.” </w:t>
      </w:r>
      <w:proofErr w:type="gramStart"/>
      <w:r w:rsidRPr="00FE262B">
        <w:rPr>
          <w:rFonts w:ascii="Times New Roman" w:hAnsi="Times New Roman"/>
          <w:sz w:val="24"/>
          <w:szCs w:val="24"/>
        </w:rPr>
        <w:t xml:space="preserve">Salzmann, </w:t>
      </w:r>
      <w:r w:rsidRPr="00FE262B">
        <w:rPr>
          <w:rFonts w:ascii="Times New Roman" w:hAnsi="Times New Roman"/>
          <w:sz w:val="24"/>
          <w:szCs w:val="24"/>
          <w:u w:val="single"/>
        </w:rPr>
        <w:t>supra,</w:t>
      </w:r>
      <w:r w:rsidRPr="00FE262B">
        <w:rPr>
          <w:rFonts w:ascii="Times New Roman" w:hAnsi="Times New Roman"/>
          <w:sz w:val="24"/>
          <w:szCs w:val="24"/>
        </w:rPr>
        <w:t xml:space="preserve"> at 518</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 xml:space="preserve">Congress initially intended to allow creators who were not formal employees to retain all the rights to their own work. Only after pressure from publishers and producers, and much controversy, did Congress amend the draft to include the nine categories of independent contractors that are now included in the Act. </w:t>
      </w:r>
      <w:r w:rsidR="00267DC7" w:rsidRPr="00FE262B">
        <w:rPr>
          <w:rFonts w:ascii="Times New Roman" w:hAnsi="Times New Roman"/>
          <w:sz w:val="24"/>
          <w:szCs w:val="24"/>
        </w:rPr>
        <w:t xml:space="preserve">The nine categories were the revisers’ attempt at pleasing the contractors and producers. </w:t>
      </w:r>
      <w:r w:rsidRPr="00FE262B">
        <w:rPr>
          <w:rFonts w:ascii="Times New Roman" w:hAnsi="Times New Roman"/>
          <w:sz w:val="24"/>
          <w:szCs w:val="24"/>
        </w:rPr>
        <w:t xml:space="preserve">The fact that so much debate and discussion surrounded the creation of the nine categories of works, that could be considered works made for hire, illustrates the fact that Congress intended to maintain the premise that in the majority of cases copyright ownership should vest in the author/creator. </w:t>
      </w:r>
      <w:proofErr w:type="gramStart"/>
      <w:r w:rsidRPr="00FE262B">
        <w:rPr>
          <w:rFonts w:ascii="Times New Roman" w:hAnsi="Times New Roman"/>
          <w:sz w:val="24"/>
          <w:szCs w:val="24"/>
        </w:rPr>
        <w:t xml:space="preserve">Salzmann, </w:t>
      </w:r>
      <w:r w:rsidRPr="00FE262B">
        <w:rPr>
          <w:rFonts w:ascii="Times New Roman" w:hAnsi="Times New Roman"/>
          <w:sz w:val="24"/>
          <w:szCs w:val="24"/>
          <w:u w:val="single"/>
        </w:rPr>
        <w:t>supra,</w:t>
      </w:r>
      <w:r w:rsidRPr="00FE262B">
        <w:rPr>
          <w:rFonts w:ascii="Times New Roman" w:hAnsi="Times New Roman"/>
          <w:sz w:val="24"/>
          <w:szCs w:val="24"/>
        </w:rPr>
        <w:t xml:space="preserve"> at 518</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 xml:space="preserve">Therefore, the primary goal of the legislature in revising the Copyright Act, and thus creating the new Act of 1976, was to allow creators to more easily retain the rights to their creations. </w:t>
      </w:r>
    </w:p>
    <w:p w14:paraId="3A4FCC84" w14:textId="77777777" w:rsidR="00D330F7" w:rsidRPr="00FE262B" w:rsidRDefault="00D330F7" w:rsidP="00630E58">
      <w:pPr>
        <w:pStyle w:val="ListParagraph"/>
        <w:numPr>
          <w:ilvl w:val="0"/>
          <w:numId w:val="1"/>
        </w:numPr>
        <w:spacing w:after="0" w:line="240" w:lineRule="auto"/>
        <w:rPr>
          <w:rFonts w:ascii="Times New Roman" w:hAnsi="Times New Roman"/>
          <w:b/>
          <w:sz w:val="24"/>
          <w:szCs w:val="24"/>
        </w:rPr>
      </w:pPr>
      <w:r w:rsidRPr="00FE262B">
        <w:rPr>
          <w:rFonts w:ascii="Times New Roman" w:hAnsi="Times New Roman"/>
          <w:b/>
          <w:sz w:val="24"/>
          <w:szCs w:val="24"/>
        </w:rPr>
        <w:t xml:space="preserve">Allowing for a post-creation agreement does not serve the other intended purposes of the revised Act of enhancing clarity, predictability, and marketability, nor would it serve the purpose of </w:t>
      </w:r>
      <w:r w:rsidR="00083978" w:rsidRPr="00FE262B">
        <w:rPr>
          <w:rFonts w:ascii="Times New Roman" w:hAnsi="Times New Roman"/>
          <w:b/>
          <w:sz w:val="24"/>
          <w:szCs w:val="24"/>
        </w:rPr>
        <w:t>deterring fraud</w:t>
      </w:r>
      <w:r w:rsidRPr="00FE262B">
        <w:rPr>
          <w:rFonts w:ascii="Times New Roman" w:hAnsi="Times New Roman"/>
          <w:b/>
          <w:sz w:val="24"/>
          <w:szCs w:val="24"/>
        </w:rPr>
        <w:t xml:space="preserve">. </w:t>
      </w:r>
    </w:p>
    <w:p w14:paraId="2265AD3C" w14:textId="77777777" w:rsidR="00D330F7" w:rsidRPr="00FE262B" w:rsidRDefault="00D330F7" w:rsidP="00630E58">
      <w:pPr>
        <w:pStyle w:val="ListParagraph"/>
        <w:spacing w:after="0" w:line="240" w:lineRule="auto"/>
        <w:ind w:left="2520"/>
        <w:rPr>
          <w:rFonts w:ascii="Times New Roman" w:hAnsi="Times New Roman"/>
          <w:b/>
          <w:sz w:val="24"/>
          <w:szCs w:val="24"/>
        </w:rPr>
      </w:pPr>
    </w:p>
    <w:p w14:paraId="31B3A300" w14:textId="77777777" w:rsidR="00D330F7" w:rsidRPr="00FE262B" w:rsidRDefault="00D330F7" w:rsidP="001A62F8">
      <w:pPr>
        <w:spacing w:after="0" w:line="480" w:lineRule="auto"/>
        <w:ind w:firstLine="720"/>
        <w:rPr>
          <w:rFonts w:ascii="Times New Roman" w:hAnsi="Times New Roman"/>
          <w:sz w:val="24"/>
          <w:szCs w:val="24"/>
        </w:rPr>
      </w:pPr>
      <w:r w:rsidRPr="00FE262B">
        <w:rPr>
          <w:rFonts w:ascii="Times New Roman" w:hAnsi="Times New Roman"/>
          <w:sz w:val="24"/>
          <w:szCs w:val="24"/>
        </w:rPr>
        <w:lastRenderedPageBreak/>
        <w:t xml:space="preserve">Allowing the documentation for a “work for hire” to be signed at any point in the process does not serve Congress’ intended purposes of reducing confusion, and enhancing predictability and marketability. One of the signed-statement </w:t>
      </w:r>
      <w:proofErr w:type="gramStart"/>
      <w:r w:rsidRPr="00FE262B">
        <w:rPr>
          <w:rFonts w:ascii="Times New Roman" w:hAnsi="Times New Roman"/>
          <w:sz w:val="24"/>
          <w:szCs w:val="24"/>
        </w:rPr>
        <w:t>requirement</w:t>
      </w:r>
      <w:proofErr w:type="gramEnd"/>
      <w:r w:rsidRPr="00FE262B">
        <w:rPr>
          <w:rFonts w:ascii="Times New Roman" w:hAnsi="Times New Roman"/>
          <w:sz w:val="24"/>
          <w:szCs w:val="24"/>
        </w:rPr>
        <w:t xml:space="preserve"> in section 101(2)’s purposes is to make the ownership of property rights in intellectual property clear and definite, so that such property will be readily marketable. </w:t>
      </w:r>
      <w:proofErr w:type="spellStart"/>
      <w:r w:rsidRPr="00FE262B">
        <w:rPr>
          <w:rFonts w:ascii="Times New Roman" w:hAnsi="Times New Roman"/>
          <w:sz w:val="24"/>
          <w:szCs w:val="24"/>
          <w:u w:val="single"/>
        </w:rPr>
        <w:t>Cmty</w:t>
      </w:r>
      <w:proofErr w:type="spellEnd"/>
      <w:r w:rsidRPr="00FE262B">
        <w:rPr>
          <w:rFonts w:ascii="Times New Roman" w:hAnsi="Times New Roman"/>
          <w:sz w:val="24"/>
          <w:szCs w:val="24"/>
          <w:u w:val="single"/>
        </w:rPr>
        <w:t xml:space="preserve">. </w:t>
      </w:r>
      <w:proofErr w:type="gramStart"/>
      <w:r w:rsidRPr="00FE262B">
        <w:rPr>
          <w:rFonts w:ascii="Times New Roman" w:hAnsi="Times New Roman"/>
          <w:sz w:val="24"/>
          <w:szCs w:val="24"/>
          <w:u w:val="single"/>
        </w:rPr>
        <w:t>for</w:t>
      </w:r>
      <w:proofErr w:type="gramEnd"/>
      <w:r w:rsidRPr="00FE262B">
        <w:rPr>
          <w:rFonts w:ascii="Times New Roman" w:hAnsi="Times New Roman"/>
          <w:sz w:val="24"/>
          <w:szCs w:val="24"/>
          <w:u w:val="single"/>
        </w:rPr>
        <w:t xml:space="preserve"> Creative Non-Violence v. Reid</w:t>
      </w:r>
      <w:r w:rsidRPr="00FE262B">
        <w:rPr>
          <w:rFonts w:ascii="Times New Roman" w:hAnsi="Times New Roman"/>
          <w:sz w:val="24"/>
          <w:szCs w:val="24"/>
        </w:rPr>
        <w:t>, 490 U.S. 730, 109 (1989).</w:t>
      </w:r>
    </w:p>
    <w:p w14:paraId="5381066C" w14:textId="77777777" w:rsidR="00D330F7" w:rsidRPr="00FE262B" w:rsidRDefault="00D330F7" w:rsidP="001A62F8">
      <w:pPr>
        <w:spacing w:after="0" w:line="480" w:lineRule="auto"/>
        <w:ind w:firstLine="720"/>
        <w:rPr>
          <w:rFonts w:ascii="Times New Roman" w:hAnsi="Times New Roman"/>
          <w:sz w:val="24"/>
          <w:szCs w:val="24"/>
        </w:rPr>
      </w:pPr>
      <w:r w:rsidRPr="00FE262B">
        <w:rPr>
          <w:rFonts w:ascii="Times New Roman" w:hAnsi="Times New Roman"/>
          <w:sz w:val="24"/>
          <w:szCs w:val="24"/>
        </w:rPr>
        <w:t xml:space="preserve">In a “copyright marketplace,” the parties negotiate with an expectation that one of them will own the copyright in the completed work. </w:t>
      </w:r>
      <w:proofErr w:type="gramStart"/>
      <w:r w:rsidRPr="00FE262B">
        <w:rPr>
          <w:rFonts w:ascii="Times New Roman" w:hAnsi="Times New Roman"/>
          <w:sz w:val="24"/>
          <w:szCs w:val="24"/>
          <w:u w:val="single"/>
        </w:rPr>
        <w:t xml:space="preserve">Dumas v. </w:t>
      </w:r>
      <w:proofErr w:type="spellStart"/>
      <w:r w:rsidRPr="00FE262B">
        <w:rPr>
          <w:rFonts w:ascii="Times New Roman" w:hAnsi="Times New Roman"/>
          <w:sz w:val="24"/>
          <w:szCs w:val="24"/>
          <w:u w:val="single"/>
        </w:rPr>
        <w:t>Gommerman</w:t>
      </w:r>
      <w:proofErr w:type="spellEnd"/>
      <w:r w:rsidRPr="00FE262B">
        <w:rPr>
          <w:rFonts w:ascii="Times New Roman" w:hAnsi="Times New Roman"/>
          <w:sz w:val="24"/>
          <w:szCs w:val="24"/>
        </w:rPr>
        <w:t>, 865 F.2d 1093, 1094 (9th Cir. 1989).</w:t>
      </w:r>
      <w:proofErr w:type="gramEnd"/>
      <w:r w:rsidR="002D3306" w:rsidRPr="00FE262B">
        <w:rPr>
          <w:rFonts w:ascii="Times New Roman" w:hAnsi="Times New Roman"/>
          <w:sz w:val="24"/>
          <w:szCs w:val="24"/>
        </w:rPr>
        <w:t xml:space="preserve"> </w:t>
      </w:r>
      <w:r w:rsidRPr="00FE262B">
        <w:rPr>
          <w:rFonts w:ascii="Times New Roman" w:hAnsi="Times New Roman"/>
          <w:sz w:val="24"/>
          <w:szCs w:val="24"/>
        </w:rPr>
        <w:t xml:space="preserve">With that expectation, the parties at the outset can settle on relevant contractual terms, such as the price for the work and the ownership of reproduction rights. </w:t>
      </w:r>
      <w:proofErr w:type="spellStart"/>
      <w:r w:rsidRPr="00FE262B">
        <w:rPr>
          <w:rFonts w:ascii="Times New Roman" w:hAnsi="Times New Roman"/>
          <w:sz w:val="24"/>
          <w:szCs w:val="24"/>
          <w:u w:val="single"/>
        </w:rPr>
        <w:t>Cmty</w:t>
      </w:r>
      <w:proofErr w:type="spellEnd"/>
      <w:proofErr w:type="gramStart"/>
      <w:r w:rsidRPr="00FE262B">
        <w:rPr>
          <w:rFonts w:ascii="Times New Roman" w:hAnsi="Times New Roman"/>
          <w:sz w:val="24"/>
          <w:szCs w:val="24"/>
          <w:u w:val="single"/>
        </w:rPr>
        <w:t>.,</w:t>
      </w:r>
      <w:proofErr w:type="gramEnd"/>
      <w:r w:rsidRPr="00FE262B">
        <w:rPr>
          <w:rFonts w:ascii="Times New Roman" w:hAnsi="Times New Roman"/>
          <w:sz w:val="24"/>
          <w:szCs w:val="24"/>
        </w:rPr>
        <w:t xml:space="preserve"> 490 U.S. at 109. Thus, the purpose of establishing clear and definite property rights, and eliminating confusion, is only served by requiring a pre-creation written instrument. </w:t>
      </w:r>
    </w:p>
    <w:p w14:paraId="17E04BC2" w14:textId="77777777" w:rsidR="00D330F7" w:rsidRPr="00FE262B" w:rsidRDefault="00D330F7" w:rsidP="001A62F8">
      <w:pPr>
        <w:spacing w:after="0" w:line="480" w:lineRule="auto"/>
        <w:ind w:firstLine="720"/>
        <w:rPr>
          <w:rFonts w:ascii="Times New Roman" w:hAnsi="Times New Roman"/>
          <w:sz w:val="24"/>
          <w:szCs w:val="24"/>
        </w:rPr>
      </w:pPr>
      <w:r w:rsidRPr="00FE262B">
        <w:rPr>
          <w:rFonts w:ascii="Times New Roman" w:hAnsi="Times New Roman"/>
          <w:sz w:val="24"/>
          <w:szCs w:val="24"/>
        </w:rPr>
        <w:t>The drafters also intended for the written agreement requirement to serve as a statute of frauds</w:t>
      </w:r>
      <w:r w:rsidR="00B844FB" w:rsidRPr="00FE262B">
        <w:rPr>
          <w:rFonts w:ascii="Times New Roman" w:hAnsi="Times New Roman"/>
          <w:sz w:val="24"/>
          <w:szCs w:val="24"/>
        </w:rPr>
        <w:t xml:space="preserve">. </w:t>
      </w:r>
      <w:proofErr w:type="gramStart"/>
      <w:r w:rsidRPr="00FE262B">
        <w:rPr>
          <w:rFonts w:ascii="Times New Roman" w:hAnsi="Times New Roman"/>
          <w:sz w:val="24"/>
          <w:szCs w:val="24"/>
        </w:rPr>
        <w:t xml:space="preserve">Salzmann, </w:t>
      </w:r>
      <w:r w:rsidRPr="00FE262B">
        <w:rPr>
          <w:rFonts w:ascii="Times New Roman" w:hAnsi="Times New Roman"/>
          <w:sz w:val="24"/>
          <w:szCs w:val="24"/>
          <w:u w:val="single"/>
        </w:rPr>
        <w:t>supra,</w:t>
      </w:r>
      <w:r w:rsidRPr="00FE262B">
        <w:rPr>
          <w:rFonts w:ascii="Times New Roman" w:hAnsi="Times New Roman"/>
          <w:sz w:val="24"/>
          <w:szCs w:val="24"/>
        </w:rPr>
        <w:t xml:space="preserve"> at 518</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It was intended to act as a statute of frauds in that it protects both parties from false claims of oral agreements or statements by the other party. In order to serve this purpose, the document must be signed prior to creation. The interpretation that the agreement can be signed after the completion of the work leaves the door open for hiring parties, who have failed to get a full assignment of copyright rights from independent contractors, to unilaterally obtain work-made-for-hire rights years after the work has been completed as long as they directed or supervised the work.</w:t>
      </w:r>
      <w:r w:rsidR="007E3E9E" w:rsidRPr="00FE262B">
        <w:rPr>
          <w:rFonts w:ascii="Times New Roman" w:hAnsi="Times New Roman"/>
          <w:sz w:val="24"/>
          <w:szCs w:val="24"/>
        </w:rPr>
        <w:t xml:space="preserve"> Marci A. Hamilton, </w:t>
      </w:r>
      <w:r w:rsidR="007E3E9E" w:rsidRPr="00FE262B">
        <w:rPr>
          <w:rFonts w:ascii="Times New Roman" w:hAnsi="Times New Roman"/>
          <w:sz w:val="24"/>
          <w:szCs w:val="24"/>
          <w:u w:val="single"/>
        </w:rPr>
        <w:t>Commissioned Works as Works Made for Hire Under the 1976 Copyright Act: Misinterpretation and Injustice</w:t>
      </w:r>
      <w:r w:rsidR="007E3E9E" w:rsidRPr="00FE262B">
        <w:rPr>
          <w:rFonts w:ascii="Times New Roman" w:hAnsi="Times New Roman"/>
          <w:sz w:val="24"/>
          <w:szCs w:val="24"/>
        </w:rPr>
        <w:t xml:space="preserve">, 135 </w:t>
      </w:r>
      <w:proofErr w:type="spellStart"/>
      <w:r w:rsidR="007E3E9E" w:rsidRPr="00FE262B">
        <w:rPr>
          <w:rFonts w:ascii="Times New Roman" w:hAnsi="Times New Roman"/>
          <w:sz w:val="24"/>
          <w:szCs w:val="24"/>
        </w:rPr>
        <w:t>U.Pa.L.Rev</w:t>
      </w:r>
      <w:proofErr w:type="spellEnd"/>
      <w:r w:rsidR="007E3E9E" w:rsidRPr="00FE262B">
        <w:rPr>
          <w:rFonts w:ascii="Times New Roman" w:hAnsi="Times New Roman"/>
          <w:sz w:val="24"/>
          <w:szCs w:val="24"/>
        </w:rPr>
        <w:t xml:space="preserve">. </w:t>
      </w:r>
      <w:proofErr w:type="gramStart"/>
      <w:r w:rsidR="007E3E9E" w:rsidRPr="00FE262B">
        <w:rPr>
          <w:rFonts w:ascii="Times New Roman" w:hAnsi="Times New Roman"/>
          <w:sz w:val="24"/>
          <w:szCs w:val="24"/>
        </w:rPr>
        <w:t>1281, 1304 (1987).</w:t>
      </w:r>
      <w:proofErr w:type="gramEnd"/>
      <w:r w:rsidR="007E3E9E" w:rsidRPr="00FE262B">
        <w:rPr>
          <w:rFonts w:ascii="Times New Roman" w:hAnsi="Times New Roman"/>
          <w:sz w:val="24"/>
          <w:szCs w:val="24"/>
        </w:rPr>
        <w:t xml:space="preserve"> </w:t>
      </w:r>
      <w:r w:rsidRPr="00FE262B">
        <w:rPr>
          <w:rFonts w:ascii="Times New Roman" w:hAnsi="Times New Roman"/>
          <w:sz w:val="24"/>
          <w:szCs w:val="24"/>
        </w:rPr>
        <w:t xml:space="preserve">This is a standard that is hard not to meet when one is a hiring party. </w:t>
      </w:r>
      <w:proofErr w:type="spellStart"/>
      <w:r w:rsidRPr="00FE262B">
        <w:rPr>
          <w:rFonts w:ascii="Times New Roman" w:hAnsi="Times New Roman"/>
          <w:sz w:val="24"/>
          <w:szCs w:val="24"/>
          <w:u w:val="single"/>
        </w:rPr>
        <w:t>Cmty</w:t>
      </w:r>
      <w:proofErr w:type="spellEnd"/>
      <w:proofErr w:type="gramStart"/>
      <w:r w:rsidRPr="00FE262B">
        <w:rPr>
          <w:rFonts w:ascii="Times New Roman" w:hAnsi="Times New Roman"/>
          <w:sz w:val="24"/>
          <w:szCs w:val="24"/>
          <w:u w:val="single"/>
        </w:rPr>
        <w:t>.,</w:t>
      </w:r>
      <w:proofErr w:type="gramEnd"/>
      <w:r w:rsidRPr="00FE262B">
        <w:rPr>
          <w:rFonts w:ascii="Times New Roman" w:hAnsi="Times New Roman"/>
          <w:sz w:val="24"/>
          <w:szCs w:val="24"/>
        </w:rPr>
        <w:t xml:space="preserve"> 490 U.S. at 109.</w:t>
      </w:r>
    </w:p>
    <w:p w14:paraId="12C701E2" w14:textId="77777777" w:rsidR="00D330F7" w:rsidRPr="00FE262B" w:rsidRDefault="00D330F7" w:rsidP="00B2516D">
      <w:pPr>
        <w:pStyle w:val="ListParagraph"/>
        <w:numPr>
          <w:ilvl w:val="0"/>
          <w:numId w:val="1"/>
        </w:numPr>
        <w:spacing w:after="0" w:line="240" w:lineRule="auto"/>
        <w:rPr>
          <w:rFonts w:ascii="Times New Roman" w:hAnsi="Times New Roman"/>
          <w:b/>
          <w:sz w:val="24"/>
          <w:szCs w:val="24"/>
        </w:rPr>
      </w:pPr>
      <w:r w:rsidRPr="00FE262B">
        <w:rPr>
          <w:rFonts w:ascii="Times New Roman" w:hAnsi="Times New Roman"/>
          <w:b/>
          <w:sz w:val="24"/>
          <w:szCs w:val="24"/>
        </w:rPr>
        <w:lastRenderedPageBreak/>
        <w:t>Barbara Ringer’s statement during the revising of the Act should be given great weight as it provides context in understanding the climate in which the revised Act was created.</w:t>
      </w:r>
    </w:p>
    <w:p w14:paraId="779FFB9D" w14:textId="77777777" w:rsidR="00D330F7" w:rsidRPr="00FE262B" w:rsidRDefault="00D330F7" w:rsidP="007E29F2">
      <w:pPr>
        <w:pStyle w:val="ListParagraph"/>
        <w:spacing w:after="0" w:line="240" w:lineRule="auto"/>
        <w:ind w:left="3240"/>
        <w:rPr>
          <w:rFonts w:ascii="Times New Roman" w:hAnsi="Times New Roman"/>
          <w:b/>
          <w:sz w:val="24"/>
          <w:szCs w:val="24"/>
        </w:rPr>
      </w:pPr>
    </w:p>
    <w:p w14:paraId="4F849EEF" w14:textId="77777777" w:rsidR="00D330F7" w:rsidRPr="00FE262B" w:rsidRDefault="007E3E9E" w:rsidP="001A62F8">
      <w:pPr>
        <w:spacing w:line="480" w:lineRule="auto"/>
        <w:ind w:firstLine="720"/>
        <w:rPr>
          <w:rFonts w:ascii="Times New Roman" w:hAnsi="Times New Roman"/>
          <w:sz w:val="24"/>
          <w:szCs w:val="24"/>
        </w:rPr>
      </w:pPr>
      <w:r w:rsidRPr="00FE262B">
        <w:rPr>
          <w:rFonts w:ascii="Times New Roman" w:hAnsi="Times New Roman"/>
          <w:sz w:val="24"/>
          <w:szCs w:val="24"/>
        </w:rPr>
        <w:t xml:space="preserve">As a </w:t>
      </w:r>
      <w:r w:rsidR="00C51249" w:rsidRPr="00FE262B">
        <w:rPr>
          <w:rFonts w:ascii="Times New Roman" w:hAnsi="Times New Roman"/>
          <w:sz w:val="24"/>
          <w:szCs w:val="24"/>
        </w:rPr>
        <w:t>highly involved individual from</w:t>
      </w:r>
      <w:r w:rsidRPr="00FE262B">
        <w:rPr>
          <w:rFonts w:ascii="Times New Roman" w:hAnsi="Times New Roman"/>
          <w:sz w:val="24"/>
          <w:szCs w:val="24"/>
        </w:rPr>
        <w:t xml:space="preserve"> the Copyright Office, </w:t>
      </w:r>
      <w:r w:rsidR="00D330F7" w:rsidRPr="00FE262B">
        <w:rPr>
          <w:rFonts w:ascii="Times New Roman" w:hAnsi="Times New Roman"/>
          <w:sz w:val="24"/>
          <w:szCs w:val="24"/>
        </w:rPr>
        <w:t>Barbara Ringer’s statement in 1964, before the House Committee on the Judiciary, is very important in providing context as to the drafters</w:t>
      </w:r>
      <w:r w:rsidRPr="00FE262B">
        <w:rPr>
          <w:rFonts w:ascii="Times New Roman" w:hAnsi="Times New Roman"/>
          <w:sz w:val="24"/>
          <w:szCs w:val="24"/>
        </w:rPr>
        <w:t>’</w:t>
      </w:r>
      <w:r w:rsidR="00D330F7" w:rsidRPr="00FE262B">
        <w:rPr>
          <w:rFonts w:ascii="Times New Roman" w:hAnsi="Times New Roman"/>
          <w:sz w:val="24"/>
          <w:szCs w:val="24"/>
        </w:rPr>
        <w:t xml:space="preserve"> intentions. One consideration in the revising of the Act was that the revisers of the Copyright Act wanted to avoid the prospect of author’s signing away the rights to their own work without realizing it</w:t>
      </w:r>
      <w:r w:rsidR="00B844FB" w:rsidRPr="00FE262B">
        <w:rPr>
          <w:rFonts w:ascii="Times New Roman" w:hAnsi="Times New Roman"/>
          <w:sz w:val="24"/>
          <w:szCs w:val="24"/>
        </w:rPr>
        <w:t xml:space="preserve">. </w:t>
      </w:r>
      <w:r w:rsidR="00D330F7" w:rsidRPr="00FE262B">
        <w:rPr>
          <w:rFonts w:ascii="Times New Roman" w:hAnsi="Times New Roman"/>
          <w:sz w:val="24"/>
          <w:szCs w:val="24"/>
        </w:rPr>
        <w:t>In order to reassure those concerned that this revised Act would serve that purpose, Barbara Ringer, of the Copyrights Office, explicitly stated, “It would not be considered a ‘work made for hire’ if the contract were signed later on-after the work was written, for example.” Staff on H. Comm. on the Judiciary, 89th Cong</w:t>
      </w:r>
      <w:proofErr w:type="gramStart"/>
      <w:r w:rsidR="00D330F7" w:rsidRPr="00FE262B">
        <w:rPr>
          <w:rFonts w:ascii="Times New Roman" w:hAnsi="Times New Roman"/>
          <w:sz w:val="24"/>
          <w:szCs w:val="24"/>
        </w:rPr>
        <w:t>,.</w:t>
      </w:r>
      <w:proofErr w:type="gramEnd"/>
      <w:r w:rsidR="00D330F7" w:rsidRPr="00FE262B">
        <w:rPr>
          <w:rFonts w:ascii="Times New Roman" w:hAnsi="Times New Roman"/>
          <w:sz w:val="24"/>
          <w:szCs w:val="24"/>
        </w:rPr>
        <w:t xml:space="preserve"> </w:t>
      </w:r>
      <w:r w:rsidR="00D330F7" w:rsidRPr="00FE262B">
        <w:rPr>
          <w:rFonts w:ascii="Times New Roman" w:hAnsi="Times New Roman"/>
          <w:sz w:val="24"/>
          <w:szCs w:val="24"/>
          <w:u w:val="single"/>
        </w:rPr>
        <w:t>Copyright Law Revision, Part 5, 1964 Revision Bill with Discussions and Comments</w:t>
      </w:r>
      <w:r w:rsidR="00D330F7" w:rsidRPr="00FE262B">
        <w:rPr>
          <w:rFonts w:ascii="Times New Roman" w:hAnsi="Times New Roman"/>
          <w:i/>
          <w:sz w:val="24"/>
          <w:szCs w:val="24"/>
        </w:rPr>
        <w:t xml:space="preserve"> </w:t>
      </w:r>
      <w:r w:rsidR="00D330F7" w:rsidRPr="00FE262B">
        <w:rPr>
          <w:rFonts w:ascii="Times New Roman" w:hAnsi="Times New Roman"/>
          <w:sz w:val="24"/>
          <w:szCs w:val="24"/>
        </w:rPr>
        <w:t xml:space="preserve">145 (Comm. Print 1965) (Statement of Barbara Ringer, Register of Copyrights). This was an important assertion for those representing the rights of the authors and creators, and reassured them that a pre-creation requirement was intended, and supposedly articulated in the revised Act. </w:t>
      </w:r>
      <w:r w:rsidR="00D330F7" w:rsidRPr="00FE262B">
        <w:rPr>
          <w:rStyle w:val="Emphasis"/>
          <w:rFonts w:ascii="Times New Roman" w:hAnsi="Times New Roman"/>
          <w:i w:val="0"/>
          <w:sz w:val="24"/>
          <w:szCs w:val="24"/>
          <w:u w:val="single"/>
        </w:rPr>
        <w:t xml:space="preserve">Definition of </w:t>
      </w:r>
      <w:r w:rsidR="00D330F7" w:rsidRPr="00FE262B">
        <w:rPr>
          <w:rStyle w:val="cosearchterm"/>
          <w:rFonts w:ascii="Times New Roman" w:hAnsi="Times New Roman"/>
          <w:iCs/>
          <w:sz w:val="24"/>
          <w:szCs w:val="24"/>
          <w:u w:val="single"/>
        </w:rPr>
        <w:t>Work</w:t>
      </w:r>
      <w:r w:rsidR="00D330F7" w:rsidRPr="00FE262B">
        <w:rPr>
          <w:rStyle w:val="Emphasis"/>
          <w:rFonts w:ascii="Times New Roman" w:hAnsi="Times New Roman"/>
          <w:sz w:val="24"/>
          <w:szCs w:val="24"/>
          <w:u w:val="single"/>
        </w:rPr>
        <w:t xml:space="preserve"> </w:t>
      </w:r>
      <w:r w:rsidR="00D330F7" w:rsidRPr="00FE262B">
        <w:rPr>
          <w:rStyle w:val="cosearchterm"/>
          <w:rFonts w:ascii="Times New Roman" w:hAnsi="Times New Roman"/>
          <w:iCs/>
          <w:sz w:val="24"/>
          <w:szCs w:val="24"/>
          <w:u w:val="single"/>
        </w:rPr>
        <w:t>Made</w:t>
      </w:r>
      <w:r w:rsidR="00D330F7" w:rsidRPr="00FE262B">
        <w:rPr>
          <w:rStyle w:val="Emphasis"/>
          <w:rFonts w:ascii="Times New Roman" w:hAnsi="Times New Roman"/>
          <w:sz w:val="24"/>
          <w:szCs w:val="24"/>
          <w:u w:val="single"/>
        </w:rPr>
        <w:t xml:space="preserve"> </w:t>
      </w:r>
      <w:r w:rsidR="00D330F7" w:rsidRPr="00FE262B">
        <w:rPr>
          <w:rStyle w:val="cosearchterm"/>
          <w:rFonts w:ascii="Times New Roman" w:hAnsi="Times New Roman"/>
          <w:iCs/>
          <w:sz w:val="24"/>
          <w:szCs w:val="24"/>
          <w:u w:val="single"/>
        </w:rPr>
        <w:t>for</w:t>
      </w:r>
      <w:r w:rsidR="00D330F7" w:rsidRPr="00FE262B">
        <w:rPr>
          <w:rStyle w:val="Emphasis"/>
          <w:rFonts w:ascii="Times New Roman" w:hAnsi="Times New Roman"/>
          <w:sz w:val="24"/>
          <w:szCs w:val="24"/>
          <w:u w:val="single"/>
        </w:rPr>
        <w:t xml:space="preserve"> </w:t>
      </w:r>
      <w:r w:rsidR="00D330F7" w:rsidRPr="00FE262B">
        <w:rPr>
          <w:rStyle w:val="cosearchterm"/>
          <w:rFonts w:ascii="Times New Roman" w:hAnsi="Times New Roman"/>
          <w:iCs/>
          <w:sz w:val="24"/>
          <w:szCs w:val="24"/>
          <w:u w:val="single"/>
        </w:rPr>
        <w:t>Hire</w:t>
      </w:r>
      <w:r w:rsidR="00D330F7" w:rsidRPr="00FE262B">
        <w:rPr>
          <w:rStyle w:val="Emphasis"/>
          <w:rFonts w:ascii="Times New Roman" w:hAnsi="Times New Roman"/>
          <w:sz w:val="24"/>
          <w:szCs w:val="24"/>
          <w:u w:val="single"/>
        </w:rPr>
        <w:t xml:space="preserve"> </w:t>
      </w:r>
      <w:r w:rsidR="00D330F7" w:rsidRPr="00FE262B">
        <w:rPr>
          <w:rStyle w:val="Emphasis"/>
          <w:rFonts w:ascii="Times New Roman" w:hAnsi="Times New Roman"/>
          <w:i w:val="0"/>
          <w:sz w:val="24"/>
          <w:szCs w:val="24"/>
          <w:u w:val="single"/>
        </w:rPr>
        <w:t xml:space="preserve">in the </w:t>
      </w:r>
      <w:r w:rsidR="00D330F7" w:rsidRPr="00FE262B">
        <w:rPr>
          <w:rStyle w:val="cosearchterm"/>
          <w:rFonts w:ascii="Times New Roman" w:hAnsi="Times New Roman"/>
          <w:iCs/>
          <w:sz w:val="24"/>
          <w:szCs w:val="24"/>
          <w:u w:val="single"/>
        </w:rPr>
        <w:t>Copyright</w:t>
      </w:r>
      <w:r w:rsidR="00D330F7" w:rsidRPr="00FE262B">
        <w:rPr>
          <w:rStyle w:val="Emphasis"/>
          <w:rFonts w:ascii="Times New Roman" w:hAnsi="Times New Roman"/>
          <w:sz w:val="24"/>
          <w:szCs w:val="24"/>
          <w:u w:val="single"/>
        </w:rPr>
        <w:t xml:space="preserve"> </w:t>
      </w:r>
      <w:r w:rsidR="00D330F7" w:rsidRPr="00FE262B">
        <w:rPr>
          <w:rStyle w:val="cosearchterm"/>
          <w:rFonts w:ascii="Times New Roman" w:hAnsi="Times New Roman"/>
          <w:iCs/>
          <w:sz w:val="24"/>
          <w:szCs w:val="24"/>
          <w:u w:val="single"/>
        </w:rPr>
        <w:t>Act</w:t>
      </w:r>
      <w:r w:rsidR="00D330F7" w:rsidRPr="00FE262B">
        <w:rPr>
          <w:rStyle w:val="Emphasis"/>
          <w:rFonts w:ascii="Times New Roman" w:hAnsi="Times New Roman"/>
          <w:sz w:val="24"/>
          <w:szCs w:val="24"/>
          <w:u w:val="single"/>
        </w:rPr>
        <w:t xml:space="preserve"> </w:t>
      </w:r>
      <w:r w:rsidR="00D330F7" w:rsidRPr="00FE262B">
        <w:rPr>
          <w:rStyle w:val="Emphasis"/>
          <w:rFonts w:ascii="Times New Roman" w:hAnsi="Times New Roman"/>
          <w:i w:val="0"/>
          <w:sz w:val="24"/>
          <w:szCs w:val="24"/>
          <w:u w:val="single"/>
        </w:rPr>
        <w:t>of</w:t>
      </w:r>
      <w:r w:rsidR="00D330F7" w:rsidRPr="00FE262B">
        <w:rPr>
          <w:rStyle w:val="Emphasis"/>
          <w:rFonts w:ascii="Times New Roman" w:hAnsi="Times New Roman"/>
          <w:sz w:val="24"/>
          <w:szCs w:val="24"/>
          <w:u w:val="single"/>
        </w:rPr>
        <w:t xml:space="preserve"> </w:t>
      </w:r>
      <w:r w:rsidR="00D330F7" w:rsidRPr="00FE262B">
        <w:rPr>
          <w:rStyle w:val="cosearchterm"/>
          <w:rFonts w:ascii="Times New Roman" w:hAnsi="Times New Roman"/>
          <w:iCs/>
          <w:sz w:val="24"/>
          <w:szCs w:val="24"/>
          <w:u w:val="single"/>
        </w:rPr>
        <w:t>1976</w:t>
      </w:r>
      <w:r w:rsidR="00D330F7" w:rsidRPr="00FE262B">
        <w:rPr>
          <w:rStyle w:val="Emphasis"/>
          <w:rFonts w:ascii="Times New Roman" w:hAnsi="Times New Roman"/>
          <w:i w:val="0"/>
          <w:sz w:val="24"/>
          <w:szCs w:val="24"/>
        </w:rPr>
        <w:t>:</w:t>
      </w:r>
      <w:r w:rsidR="00D330F7" w:rsidRPr="00FE262B">
        <w:rPr>
          <w:rStyle w:val="Emphasis"/>
          <w:rFonts w:ascii="Times New Roman" w:hAnsi="Times New Roman"/>
          <w:sz w:val="24"/>
          <w:szCs w:val="24"/>
        </w:rPr>
        <w:t xml:space="preserve"> </w:t>
      </w:r>
      <w:r w:rsidR="00D330F7" w:rsidRPr="00FE262B">
        <w:rPr>
          <w:rStyle w:val="Emphasis"/>
          <w:rFonts w:ascii="Times New Roman" w:hAnsi="Times New Roman"/>
          <w:i w:val="0"/>
          <w:sz w:val="24"/>
          <w:szCs w:val="24"/>
        </w:rPr>
        <w:t>Hearing on S. 2044 Before the</w:t>
      </w:r>
      <w:r w:rsidR="00F37990" w:rsidRPr="00FE262B">
        <w:rPr>
          <w:rStyle w:val="Emphasis"/>
          <w:rFonts w:ascii="Times New Roman" w:hAnsi="Times New Roman"/>
          <w:i w:val="0"/>
          <w:sz w:val="24"/>
          <w:szCs w:val="24"/>
        </w:rPr>
        <w:t xml:space="preserve"> S. </w:t>
      </w:r>
      <w:r w:rsidR="00D330F7" w:rsidRPr="00FE262B">
        <w:rPr>
          <w:rStyle w:val="Emphasis"/>
          <w:rFonts w:ascii="Times New Roman" w:hAnsi="Times New Roman"/>
          <w:i w:val="0"/>
          <w:sz w:val="24"/>
          <w:szCs w:val="24"/>
        </w:rPr>
        <w:t>Comm</w:t>
      </w:r>
      <w:r w:rsidR="00F37990" w:rsidRPr="00FE262B">
        <w:rPr>
          <w:rStyle w:val="Emphasis"/>
          <w:rFonts w:ascii="Times New Roman" w:hAnsi="Times New Roman"/>
          <w:i w:val="0"/>
          <w:sz w:val="24"/>
          <w:szCs w:val="24"/>
        </w:rPr>
        <w:t>.</w:t>
      </w:r>
      <w:r w:rsidR="00D330F7" w:rsidRPr="00FE262B">
        <w:rPr>
          <w:rStyle w:val="Emphasis"/>
          <w:rFonts w:ascii="Times New Roman" w:hAnsi="Times New Roman"/>
          <w:i w:val="0"/>
          <w:sz w:val="24"/>
          <w:szCs w:val="24"/>
        </w:rPr>
        <w:t xml:space="preserve"> on the Judiciary</w:t>
      </w:r>
      <w:r w:rsidR="00D330F7" w:rsidRPr="00FE262B">
        <w:rPr>
          <w:rFonts w:ascii="Times New Roman" w:hAnsi="Times New Roman"/>
          <w:i/>
          <w:sz w:val="24"/>
          <w:szCs w:val="24"/>
        </w:rPr>
        <w:t xml:space="preserve">, </w:t>
      </w:r>
      <w:r w:rsidR="00D330F7" w:rsidRPr="00FE262B">
        <w:rPr>
          <w:rFonts w:ascii="Times New Roman" w:hAnsi="Times New Roman"/>
          <w:sz w:val="24"/>
          <w:szCs w:val="24"/>
        </w:rPr>
        <w:t>97th Cong., 2d Sess. (1982)</w:t>
      </w:r>
      <w:r w:rsidR="00F37990" w:rsidRPr="00FE262B">
        <w:rPr>
          <w:rFonts w:ascii="Times New Roman" w:hAnsi="Times New Roman"/>
          <w:sz w:val="24"/>
          <w:szCs w:val="24"/>
        </w:rPr>
        <w:t xml:space="preserve">. </w:t>
      </w:r>
      <w:r w:rsidR="00D330F7" w:rsidRPr="00FE262B">
        <w:rPr>
          <w:rFonts w:ascii="Times New Roman" w:hAnsi="Times New Roman"/>
          <w:sz w:val="24"/>
          <w:szCs w:val="24"/>
        </w:rPr>
        <w:t>Without the pre-creation requirement to the “works for hire” provision, the balance that was being struck between commissioner</w:t>
      </w:r>
      <w:r w:rsidR="00687799" w:rsidRPr="00FE262B">
        <w:rPr>
          <w:rFonts w:ascii="Times New Roman" w:hAnsi="Times New Roman"/>
          <w:sz w:val="24"/>
          <w:szCs w:val="24"/>
        </w:rPr>
        <w:t>s and creators would have been disrupted, and</w:t>
      </w:r>
      <w:r w:rsidR="00D330F7" w:rsidRPr="00FE262B">
        <w:rPr>
          <w:rFonts w:ascii="Times New Roman" w:hAnsi="Times New Roman"/>
          <w:sz w:val="24"/>
          <w:szCs w:val="24"/>
        </w:rPr>
        <w:t xml:space="preserve"> be overly favorable to the commissioner of the work.</w:t>
      </w:r>
      <w:r w:rsidR="00687799" w:rsidRPr="00FE262B">
        <w:rPr>
          <w:rFonts w:ascii="Times New Roman" w:hAnsi="Times New Roman"/>
          <w:i/>
          <w:sz w:val="24"/>
          <w:szCs w:val="24"/>
        </w:rPr>
        <w:t xml:space="preserve"> </w:t>
      </w:r>
      <w:r w:rsidR="00D330F7" w:rsidRPr="00FE262B">
        <w:rPr>
          <w:rFonts w:ascii="Times New Roman" w:hAnsi="Times New Roman"/>
          <w:sz w:val="24"/>
          <w:szCs w:val="24"/>
        </w:rPr>
        <w:t xml:space="preserve">Thus, it is significant that an individual that was actually involved in the revision process of the Act expressly stated the intention that the contract must be signed before the completion of the work, and her statement should be given considerable weight in resolving this dispute. </w:t>
      </w:r>
    </w:p>
    <w:p w14:paraId="2DD21C0E" w14:textId="77777777" w:rsidR="00D330F7" w:rsidRPr="00FE262B" w:rsidRDefault="00D330F7" w:rsidP="001A62F8">
      <w:pPr>
        <w:pStyle w:val="ListParagraph"/>
        <w:numPr>
          <w:ilvl w:val="0"/>
          <w:numId w:val="1"/>
        </w:numPr>
        <w:spacing w:line="240" w:lineRule="auto"/>
        <w:rPr>
          <w:rFonts w:ascii="Times New Roman" w:hAnsi="Times New Roman"/>
          <w:sz w:val="24"/>
          <w:szCs w:val="24"/>
        </w:rPr>
      </w:pPr>
      <w:r w:rsidRPr="00FE262B">
        <w:rPr>
          <w:rFonts w:ascii="Times New Roman" w:hAnsi="Times New Roman"/>
          <w:b/>
          <w:sz w:val="24"/>
          <w:szCs w:val="24"/>
        </w:rPr>
        <w:t>A pre-creation written requirement for the “works made for hire” section of the Copyright Act fits most closely with the purposes of the Act</w:t>
      </w:r>
      <w:r w:rsidR="00687799" w:rsidRPr="00FE262B">
        <w:rPr>
          <w:rFonts w:ascii="Times New Roman" w:hAnsi="Times New Roman"/>
          <w:b/>
          <w:sz w:val="24"/>
          <w:szCs w:val="24"/>
        </w:rPr>
        <w:t>, as demonstrated by the legislative history</w:t>
      </w:r>
      <w:r w:rsidR="00B844FB" w:rsidRPr="00FE262B">
        <w:rPr>
          <w:rFonts w:ascii="Times New Roman" w:hAnsi="Times New Roman"/>
          <w:b/>
          <w:sz w:val="24"/>
          <w:szCs w:val="24"/>
        </w:rPr>
        <w:t xml:space="preserve">. </w:t>
      </w:r>
    </w:p>
    <w:p w14:paraId="708B07C5" w14:textId="77777777" w:rsidR="00D330F7" w:rsidRPr="00FE262B" w:rsidRDefault="00D330F7" w:rsidP="00E61496">
      <w:pPr>
        <w:pStyle w:val="ListParagraph"/>
        <w:spacing w:after="0" w:line="240" w:lineRule="auto"/>
        <w:ind w:left="2520"/>
        <w:rPr>
          <w:rFonts w:ascii="Times New Roman" w:hAnsi="Times New Roman"/>
          <w:b/>
          <w:sz w:val="24"/>
          <w:szCs w:val="24"/>
        </w:rPr>
      </w:pPr>
    </w:p>
    <w:p w14:paraId="20B603BC" w14:textId="77777777" w:rsidR="00D330F7" w:rsidRPr="00FE262B" w:rsidRDefault="00D330F7" w:rsidP="00620004">
      <w:pPr>
        <w:spacing w:after="0" w:line="480" w:lineRule="auto"/>
        <w:ind w:firstLine="720"/>
        <w:rPr>
          <w:rFonts w:ascii="Times New Roman" w:hAnsi="Times New Roman"/>
          <w:sz w:val="24"/>
          <w:szCs w:val="24"/>
        </w:rPr>
      </w:pPr>
      <w:r w:rsidRPr="00FE262B">
        <w:rPr>
          <w:rFonts w:ascii="Times New Roman" w:hAnsi="Times New Roman"/>
          <w:sz w:val="24"/>
          <w:szCs w:val="24"/>
        </w:rPr>
        <w:lastRenderedPageBreak/>
        <w:t xml:space="preserve">The pre-creation written instrument requirement as articulated by the Seventh and Ninth Circuits regarding the “work made for hire” doctrine is the correct approach to preserve the intent of the legislature. The court in </w:t>
      </w:r>
      <w:r w:rsidRPr="00FE262B">
        <w:rPr>
          <w:rFonts w:ascii="Times New Roman" w:hAnsi="Times New Roman"/>
          <w:i/>
          <w:sz w:val="24"/>
          <w:szCs w:val="24"/>
        </w:rPr>
        <w:t xml:space="preserve">Schiller </w:t>
      </w:r>
      <w:r w:rsidRPr="00FE262B">
        <w:rPr>
          <w:rFonts w:ascii="Times New Roman" w:hAnsi="Times New Roman"/>
          <w:sz w:val="24"/>
          <w:szCs w:val="24"/>
        </w:rPr>
        <w:t xml:space="preserve">held that the creator of the property is the owner, unless the parties have agreed in a writing signed by both that the person who commissioned the creation of the property is the owner. </w:t>
      </w:r>
      <w:r w:rsidRPr="00FE262B">
        <w:rPr>
          <w:rFonts w:ascii="Times New Roman" w:hAnsi="Times New Roman"/>
          <w:sz w:val="24"/>
          <w:szCs w:val="24"/>
          <w:u w:val="single"/>
        </w:rPr>
        <w:t xml:space="preserve">Schiller &amp; Schmidt, Inc. v. </w:t>
      </w:r>
      <w:proofErr w:type="spellStart"/>
      <w:r w:rsidRPr="00FE262B">
        <w:rPr>
          <w:rFonts w:ascii="Times New Roman" w:hAnsi="Times New Roman"/>
          <w:sz w:val="24"/>
          <w:szCs w:val="24"/>
          <w:u w:val="single"/>
        </w:rPr>
        <w:t>Nordisco</w:t>
      </w:r>
      <w:proofErr w:type="spellEnd"/>
      <w:r w:rsidRPr="00FE262B">
        <w:rPr>
          <w:rFonts w:ascii="Times New Roman" w:hAnsi="Times New Roman"/>
          <w:sz w:val="24"/>
          <w:szCs w:val="24"/>
          <w:u w:val="single"/>
        </w:rPr>
        <w:t xml:space="preserve"> Corp.</w:t>
      </w:r>
      <w:r w:rsidRPr="00FE262B">
        <w:rPr>
          <w:rFonts w:ascii="Times New Roman" w:hAnsi="Times New Roman"/>
          <w:sz w:val="24"/>
          <w:szCs w:val="24"/>
        </w:rPr>
        <w:t>, 969 F.2d 410, 412-13 (7th Cir. 1992). The writing must precede the creation of the property in order to serve its purpose of identifying the (</w:t>
      </w:r>
      <w:proofErr w:type="spellStart"/>
      <w:r w:rsidRPr="00FE262B">
        <w:rPr>
          <w:rFonts w:ascii="Times New Roman" w:hAnsi="Times New Roman"/>
          <w:sz w:val="24"/>
          <w:szCs w:val="24"/>
        </w:rPr>
        <w:t>noncreator</w:t>
      </w:r>
      <w:proofErr w:type="spellEnd"/>
      <w:r w:rsidRPr="00FE262B">
        <w:rPr>
          <w:rFonts w:ascii="Times New Roman" w:hAnsi="Times New Roman"/>
          <w:sz w:val="24"/>
          <w:szCs w:val="24"/>
        </w:rPr>
        <w:t xml:space="preserve">) owner unequivocally. </w:t>
      </w:r>
      <w:proofErr w:type="gramStart"/>
      <w:r w:rsidRPr="00FE262B">
        <w:rPr>
          <w:rFonts w:ascii="Times New Roman" w:hAnsi="Times New Roman"/>
          <w:sz w:val="24"/>
          <w:szCs w:val="24"/>
          <w:u w:val="single"/>
        </w:rPr>
        <w:t>Schiller</w:t>
      </w:r>
      <w:r w:rsidRPr="00FE262B">
        <w:rPr>
          <w:rFonts w:ascii="Times New Roman" w:hAnsi="Times New Roman"/>
          <w:sz w:val="24"/>
          <w:szCs w:val="24"/>
        </w:rPr>
        <w:t>, 969 F.2d at 412-413.</w:t>
      </w:r>
      <w:proofErr w:type="gramEnd"/>
      <w:r w:rsidRPr="00FE262B">
        <w:rPr>
          <w:rFonts w:ascii="Times New Roman" w:hAnsi="Times New Roman"/>
          <w:sz w:val="24"/>
          <w:szCs w:val="24"/>
        </w:rPr>
        <w:t xml:space="preserve"> The Ninth Circuit also stated that the writing must precede the creation of the property to qualify as a “work for hire” agreement. </w:t>
      </w:r>
      <w:proofErr w:type="spellStart"/>
      <w:r w:rsidRPr="00FE262B">
        <w:rPr>
          <w:rFonts w:ascii="Times New Roman" w:hAnsi="Times New Roman"/>
          <w:sz w:val="24"/>
          <w:szCs w:val="24"/>
          <w:u w:val="single"/>
        </w:rPr>
        <w:t>Gladwell</w:t>
      </w:r>
      <w:proofErr w:type="spellEnd"/>
      <w:r w:rsidRPr="00FE262B">
        <w:rPr>
          <w:rFonts w:ascii="Times New Roman" w:hAnsi="Times New Roman"/>
          <w:sz w:val="24"/>
          <w:szCs w:val="24"/>
          <w:u w:val="single"/>
        </w:rPr>
        <w:t xml:space="preserve"> Gov't </w:t>
      </w:r>
      <w:proofErr w:type="spellStart"/>
      <w:r w:rsidR="0031157D" w:rsidRPr="00FE262B">
        <w:rPr>
          <w:rFonts w:ascii="Times New Roman" w:hAnsi="Times New Roman"/>
          <w:sz w:val="24"/>
          <w:szCs w:val="24"/>
          <w:u w:val="single"/>
        </w:rPr>
        <w:t>Servs</w:t>
      </w:r>
      <w:proofErr w:type="spellEnd"/>
      <w:proofErr w:type="gramStart"/>
      <w:r w:rsidR="0031157D" w:rsidRPr="00FE262B">
        <w:rPr>
          <w:rFonts w:ascii="Times New Roman" w:hAnsi="Times New Roman"/>
          <w:sz w:val="24"/>
          <w:szCs w:val="24"/>
          <w:u w:val="single"/>
        </w:rPr>
        <w:t>.</w:t>
      </w:r>
      <w:r w:rsidRPr="00FE262B">
        <w:rPr>
          <w:rFonts w:ascii="Times New Roman" w:hAnsi="Times New Roman"/>
          <w:sz w:val="24"/>
          <w:szCs w:val="24"/>
          <w:u w:val="single"/>
        </w:rPr>
        <w:t>,</w:t>
      </w:r>
      <w:proofErr w:type="gramEnd"/>
      <w:r w:rsidRPr="00FE262B">
        <w:rPr>
          <w:rFonts w:ascii="Times New Roman" w:hAnsi="Times New Roman"/>
          <w:sz w:val="24"/>
          <w:szCs w:val="24"/>
          <w:u w:val="single"/>
        </w:rPr>
        <w:t xml:space="preserve"> Inc. v. County of Marin</w:t>
      </w:r>
      <w:r w:rsidRPr="00FE262B">
        <w:rPr>
          <w:rFonts w:ascii="Times New Roman" w:hAnsi="Times New Roman"/>
          <w:sz w:val="24"/>
          <w:szCs w:val="24"/>
        </w:rPr>
        <w:t xml:space="preserve">, 265 F. </w:t>
      </w:r>
      <w:proofErr w:type="spellStart"/>
      <w:r w:rsidRPr="00FE262B">
        <w:rPr>
          <w:rFonts w:ascii="Times New Roman" w:hAnsi="Times New Roman"/>
          <w:sz w:val="24"/>
          <w:szCs w:val="24"/>
        </w:rPr>
        <w:t>App'x</w:t>
      </w:r>
      <w:proofErr w:type="spellEnd"/>
      <w:r w:rsidRPr="00FE262B">
        <w:rPr>
          <w:rFonts w:ascii="Times New Roman" w:hAnsi="Times New Roman"/>
          <w:sz w:val="24"/>
          <w:szCs w:val="24"/>
        </w:rPr>
        <w:t xml:space="preserve"> 624, 625-26 (9th Cir. 2008). This reasoning achieves the goals of preserving certainty and predictability, preserving the creator’s right to his/her own work, and preserving the creator’s motivation to continue to create by requiring a pre-creation signed document to unequivocally identify the owner of the copyright. Therefore, this court should follow the path laid out by the Seventh and Ninth Circuit Courts given that their approach is the most consistent with the intended purposes of the Act.</w:t>
      </w:r>
    </w:p>
    <w:p w14:paraId="01B9FDD2" w14:textId="77777777" w:rsidR="00D330F7" w:rsidRPr="00FE262B" w:rsidRDefault="00D330F7" w:rsidP="00460A4F">
      <w:pPr>
        <w:spacing w:after="0" w:line="480" w:lineRule="auto"/>
        <w:ind w:firstLine="720"/>
        <w:rPr>
          <w:rFonts w:ascii="Times New Roman" w:hAnsi="Times New Roman"/>
          <w:sz w:val="24"/>
          <w:szCs w:val="24"/>
        </w:rPr>
      </w:pPr>
      <w:r w:rsidRPr="00FE262B">
        <w:rPr>
          <w:rFonts w:ascii="Times New Roman" w:hAnsi="Times New Roman"/>
          <w:sz w:val="24"/>
          <w:szCs w:val="24"/>
        </w:rPr>
        <w:t>The Second Circuit’s interpretation of the “works made for hire” doctrine is contrary to the legislative purposes of the Act</w:t>
      </w:r>
      <w:r w:rsidR="00B844FB" w:rsidRPr="00FE262B">
        <w:rPr>
          <w:rFonts w:ascii="Times New Roman" w:hAnsi="Times New Roman"/>
          <w:sz w:val="24"/>
          <w:szCs w:val="24"/>
        </w:rPr>
        <w:t xml:space="preserve">. </w:t>
      </w:r>
      <w:r w:rsidRPr="00FE262B">
        <w:rPr>
          <w:rFonts w:ascii="Times New Roman" w:hAnsi="Times New Roman"/>
          <w:sz w:val="24"/>
          <w:szCs w:val="24"/>
        </w:rPr>
        <w:t xml:space="preserve">The Second Circuit’s ruling in </w:t>
      </w:r>
      <w:proofErr w:type="spellStart"/>
      <w:r w:rsidRPr="00FE262B">
        <w:rPr>
          <w:rFonts w:ascii="Times New Roman" w:hAnsi="Times New Roman"/>
          <w:i/>
          <w:sz w:val="24"/>
          <w:szCs w:val="24"/>
        </w:rPr>
        <w:t>Aldon</w:t>
      </w:r>
      <w:proofErr w:type="spellEnd"/>
      <w:r w:rsidRPr="00FE262B">
        <w:rPr>
          <w:rFonts w:ascii="Times New Roman" w:hAnsi="Times New Roman"/>
          <w:i/>
          <w:sz w:val="24"/>
          <w:szCs w:val="24"/>
        </w:rPr>
        <w:t xml:space="preserve"> </w:t>
      </w:r>
      <w:r w:rsidRPr="00FE262B">
        <w:rPr>
          <w:rFonts w:ascii="Times New Roman" w:hAnsi="Times New Roman"/>
          <w:sz w:val="24"/>
          <w:szCs w:val="24"/>
        </w:rPr>
        <w:t xml:space="preserve">required a fact-specific determination of the exercise of actual control. </w:t>
      </w:r>
      <w:proofErr w:type="spellStart"/>
      <w:r w:rsidRPr="00FE262B">
        <w:rPr>
          <w:rFonts w:ascii="Times New Roman" w:hAnsi="Times New Roman"/>
          <w:sz w:val="24"/>
          <w:szCs w:val="24"/>
          <w:u w:val="single"/>
        </w:rPr>
        <w:t>Aldon</w:t>
      </w:r>
      <w:proofErr w:type="spellEnd"/>
      <w:r w:rsidRPr="00FE262B">
        <w:rPr>
          <w:rFonts w:ascii="Times New Roman" w:hAnsi="Times New Roman"/>
          <w:sz w:val="24"/>
          <w:szCs w:val="24"/>
          <w:u w:val="single"/>
        </w:rPr>
        <w:t xml:space="preserve"> Accessories Ltd. v. Spiegel, Inc.</w:t>
      </w:r>
      <w:r w:rsidRPr="00FE262B">
        <w:rPr>
          <w:rFonts w:ascii="Times New Roman" w:hAnsi="Times New Roman"/>
          <w:sz w:val="24"/>
          <w:szCs w:val="24"/>
        </w:rPr>
        <w:t xml:space="preserve">, 738 F.2d 548 (2d Cir. 1984). This type of analysis undermines the effort by the legislature to make copyright ownership more certain by allowing the legislature to deviate from the statutory language and rule more on a case by case basis. Jessica D. </w:t>
      </w:r>
      <w:proofErr w:type="spellStart"/>
      <w:r w:rsidRPr="00FE262B">
        <w:rPr>
          <w:rFonts w:ascii="Times New Roman" w:hAnsi="Times New Roman"/>
          <w:sz w:val="24"/>
          <w:szCs w:val="24"/>
        </w:rPr>
        <w:t>Litman</w:t>
      </w:r>
      <w:proofErr w:type="spellEnd"/>
      <w:r w:rsidRPr="00FE262B">
        <w:rPr>
          <w:rFonts w:ascii="Times New Roman" w:hAnsi="Times New Roman"/>
          <w:sz w:val="24"/>
          <w:szCs w:val="24"/>
        </w:rPr>
        <w:t xml:space="preserve">, </w:t>
      </w:r>
      <w:r w:rsidRPr="00FE262B">
        <w:rPr>
          <w:rFonts w:ascii="Times New Roman" w:hAnsi="Times New Roman"/>
          <w:iCs/>
          <w:sz w:val="24"/>
          <w:szCs w:val="24"/>
          <w:u w:val="single"/>
        </w:rPr>
        <w:t>Copyright, Compromise, and Legislative History</w:t>
      </w:r>
      <w:r w:rsidRPr="00FE262B">
        <w:rPr>
          <w:rFonts w:ascii="Times New Roman" w:hAnsi="Times New Roman"/>
          <w:sz w:val="24"/>
          <w:szCs w:val="24"/>
        </w:rPr>
        <w:t xml:space="preserve">, 72 Cornell L. Rev. 857, 901 (1987). This interpretation, instead, decreases predictability to a level that is even less clear than the tests articulated by the courts to interpret </w:t>
      </w:r>
      <w:r w:rsidRPr="00FE262B">
        <w:rPr>
          <w:rFonts w:ascii="Times New Roman" w:hAnsi="Times New Roman"/>
          <w:sz w:val="24"/>
          <w:szCs w:val="24"/>
        </w:rPr>
        <w:lastRenderedPageBreak/>
        <w:t xml:space="preserve">the 1909 Act. </w:t>
      </w:r>
      <w:proofErr w:type="gramStart"/>
      <w:r w:rsidRPr="00FE262B">
        <w:rPr>
          <w:rFonts w:ascii="Times New Roman" w:hAnsi="Times New Roman"/>
          <w:sz w:val="24"/>
          <w:szCs w:val="24"/>
          <w:u w:val="single"/>
        </w:rPr>
        <w:t>Id</w:t>
      </w:r>
      <w:r w:rsidR="00B844FB" w:rsidRPr="00FE262B">
        <w:rPr>
          <w:rFonts w:ascii="Times New Roman" w:hAnsi="Times New Roman"/>
          <w:sz w:val="24"/>
          <w:szCs w:val="24"/>
          <w:u w:val="single"/>
        </w:rPr>
        <w:t xml:space="preserve">. </w:t>
      </w:r>
      <w:r w:rsidRPr="00FE262B">
        <w:rPr>
          <w:rFonts w:ascii="Times New Roman" w:hAnsi="Times New Roman"/>
          <w:sz w:val="24"/>
          <w:szCs w:val="24"/>
        </w:rPr>
        <w:t>at 901</w:t>
      </w:r>
      <w:r w:rsidR="00B844FB" w:rsidRPr="00FE262B">
        <w:rPr>
          <w:rFonts w:ascii="Times New Roman" w:hAnsi="Times New Roman"/>
          <w:sz w:val="24"/>
          <w:szCs w:val="24"/>
        </w:rPr>
        <w:t>.</w:t>
      </w:r>
      <w:proofErr w:type="gramEnd"/>
      <w:r w:rsidR="00B844FB" w:rsidRPr="00FE262B">
        <w:rPr>
          <w:rFonts w:ascii="Times New Roman" w:hAnsi="Times New Roman"/>
          <w:sz w:val="24"/>
          <w:szCs w:val="24"/>
        </w:rPr>
        <w:t xml:space="preserve"> </w:t>
      </w:r>
      <w:r w:rsidRPr="00FE262B">
        <w:rPr>
          <w:rFonts w:ascii="Times New Roman" w:hAnsi="Times New Roman"/>
          <w:sz w:val="24"/>
          <w:szCs w:val="24"/>
        </w:rPr>
        <w:t xml:space="preserve">By essentially doing away with the written requirement, the Second Circuit has disrupted the compromise struck between publishers and creators, and impeded the Act from serving its intended purposes in protection of the original creator. The Second Circuit Court’s analysis in </w:t>
      </w:r>
      <w:r w:rsidRPr="00FE262B">
        <w:rPr>
          <w:rFonts w:ascii="Times New Roman" w:hAnsi="Times New Roman"/>
          <w:i/>
          <w:sz w:val="24"/>
          <w:szCs w:val="24"/>
        </w:rPr>
        <w:t>Playboy Enters, Inc. v Dumas</w:t>
      </w:r>
      <w:r w:rsidRPr="00FE262B">
        <w:rPr>
          <w:rFonts w:ascii="Times New Roman" w:hAnsi="Times New Roman"/>
          <w:sz w:val="24"/>
          <w:szCs w:val="24"/>
        </w:rPr>
        <w:t xml:space="preserve">, that a written agreement can postdate creation if “memorializing the earlier oral agreement” would frustrate almost all of the aforementioned purposes of the Copyright Act. It would not enhance the certainty, predictability or marketability of the work, and would certainly not serve as a statute of frauds. </w:t>
      </w:r>
      <w:r w:rsidR="00C42922">
        <w:fldChar w:fldCharType="begin"/>
      </w:r>
      <w:r w:rsidR="00C42922">
        <w:instrText xml:space="preserve"> HYPERLINK "http://web2.westlaw.com/find/default.wl?referencepositiontype=S&amp;serialnum=1995107920&amp;referenceposition=559&amp;rp=%2ffind%2fdefault.wl&amp;sv=Split&amp;rs=WLW11.04&amp;db=506&amp;tf=-1&amp;findtype=Y&amp;fn=_top&amp;tc=-1&amp;vr=2.0&amp;pbc=B012A6A6&amp;ordoc=2025477927" \t "_top" </w:instrText>
      </w:r>
      <w:r w:rsidR="00C42922">
        <w:fldChar w:fldCharType="separate"/>
      </w:r>
      <w:r w:rsidRPr="00FE262B">
        <w:rPr>
          <w:rStyle w:val="Hyperlink"/>
          <w:rFonts w:ascii="Times New Roman" w:hAnsi="Times New Roman"/>
          <w:iCs/>
          <w:color w:val="auto"/>
          <w:sz w:val="24"/>
          <w:szCs w:val="24"/>
        </w:rPr>
        <w:t>Playboy Enters</w:t>
      </w:r>
      <w:proofErr w:type="gramStart"/>
      <w:r w:rsidRPr="00FE262B">
        <w:rPr>
          <w:rStyle w:val="Hyperlink"/>
          <w:rFonts w:ascii="Times New Roman" w:hAnsi="Times New Roman"/>
          <w:iCs/>
          <w:color w:val="auto"/>
          <w:sz w:val="24"/>
          <w:szCs w:val="24"/>
        </w:rPr>
        <w:t>.,</w:t>
      </w:r>
      <w:proofErr w:type="gramEnd"/>
      <w:r w:rsidRPr="00FE262B">
        <w:rPr>
          <w:rStyle w:val="Hyperlink"/>
          <w:rFonts w:ascii="Times New Roman" w:hAnsi="Times New Roman"/>
          <w:iCs/>
          <w:color w:val="auto"/>
          <w:sz w:val="24"/>
          <w:szCs w:val="24"/>
        </w:rPr>
        <w:t xml:space="preserve"> Inc. v. Dumas</w:t>
      </w:r>
      <w:r w:rsidRPr="00FE262B">
        <w:rPr>
          <w:rStyle w:val="Hyperlink"/>
          <w:rFonts w:ascii="Times New Roman" w:hAnsi="Times New Roman"/>
          <w:i/>
          <w:iCs/>
          <w:color w:val="auto"/>
          <w:sz w:val="24"/>
          <w:szCs w:val="24"/>
          <w:u w:val="none"/>
        </w:rPr>
        <w:t>,</w:t>
      </w:r>
      <w:r w:rsidRPr="00FE262B">
        <w:rPr>
          <w:rStyle w:val="Hyperlink"/>
          <w:rFonts w:ascii="Times New Roman" w:hAnsi="Times New Roman"/>
          <w:color w:val="auto"/>
          <w:sz w:val="24"/>
          <w:szCs w:val="24"/>
          <w:u w:val="none"/>
        </w:rPr>
        <w:t xml:space="preserve"> 53 F.3d 549, 559 (2d Cir. </w:t>
      </w:r>
      <w:r w:rsidR="0031157D" w:rsidRPr="00FE262B">
        <w:rPr>
          <w:rStyle w:val="Hyperlink"/>
          <w:rFonts w:ascii="Times New Roman" w:hAnsi="Times New Roman"/>
          <w:color w:val="auto"/>
          <w:sz w:val="24"/>
          <w:szCs w:val="24"/>
          <w:u w:val="none"/>
        </w:rPr>
        <w:t>1995</w:t>
      </w:r>
      <w:r w:rsidRPr="00FE262B">
        <w:rPr>
          <w:rStyle w:val="Hyperlink"/>
          <w:rFonts w:ascii="Times New Roman" w:hAnsi="Times New Roman"/>
          <w:color w:val="auto"/>
          <w:sz w:val="24"/>
          <w:szCs w:val="24"/>
          <w:u w:val="none"/>
        </w:rPr>
        <w:t>)</w:t>
      </w:r>
      <w:r w:rsidR="00C42922">
        <w:rPr>
          <w:rStyle w:val="Hyperlink"/>
          <w:rFonts w:ascii="Times New Roman" w:hAnsi="Times New Roman"/>
          <w:color w:val="auto"/>
          <w:sz w:val="24"/>
          <w:szCs w:val="24"/>
          <w:u w:val="none"/>
        </w:rPr>
        <w:fldChar w:fldCharType="end"/>
      </w:r>
      <w:r w:rsidRPr="00FE262B">
        <w:rPr>
          <w:rFonts w:ascii="Times New Roman" w:hAnsi="Times New Roman"/>
          <w:sz w:val="24"/>
          <w:szCs w:val="24"/>
        </w:rPr>
        <w:t xml:space="preserve">. Thus, the Ninth and Seventh Circuit Court’s approach of requiring a pre-creation written instrument satisfies the intent of the legislature and drafters in a way that the Second Circuit Court’s approach does not. </w:t>
      </w:r>
    </w:p>
    <w:p w14:paraId="574B0F72" w14:textId="77777777" w:rsidR="00D330F7" w:rsidRPr="00FE262B" w:rsidRDefault="00006698">
      <w:pPr>
        <w:spacing w:after="0" w:line="480" w:lineRule="auto"/>
        <w:ind w:firstLine="720"/>
        <w:rPr>
          <w:rFonts w:ascii="Times New Roman" w:hAnsi="Times New Roman"/>
          <w:sz w:val="24"/>
          <w:szCs w:val="24"/>
        </w:rPr>
      </w:pPr>
      <w:r w:rsidRPr="00FE262B">
        <w:rPr>
          <w:rFonts w:ascii="Times New Roman" w:hAnsi="Times New Roman"/>
          <w:sz w:val="24"/>
          <w:szCs w:val="24"/>
        </w:rPr>
        <w:t xml:space="preserve">In conclusion, </w:t>
      </w:r>
      <w:r w:rsidR="00D330F7" w:rsidRPr="00FE262B">
        <w:rPr>
          <w:rFonts w:ascii="Times New Roman" w:hAnsi="Times New Roman"/>
          <w:sz w:val="24"/>
          <w:szCs w:val="24"/>
        </w:rPr>
        <w:t xml:space="preserve">the legislative history of the Copyright Act indicates that the revisers of the bill intended for the “work for hire” provision to require a pre-creation signature of a written document. The legislature intended to put the power back into the hands of the creator after the Act of 1909 had disfavored creators. The other purposes of the revised Act were to enhance clarity, predictability, and marketability. Allowing a post-creation agreement does not serve these intended purposes, nor does it allow the provision to act as a statute of frauds. Barbara Ringer’s, reviser of the Copyright Act, statements that the Act requires a pre-creation written agreement should be given great weight as they provide context in understanding the atmosphere in which the revised Act was created. Thus, requiring a pre-creation written instrument, as was done by the Seventh and Ninth Circuit Courts, is the approach </w:t>
      </w:r>
      <w:r w:rsidR="00BB1ABA">
        <w:rPr>
          <w:rFonts w:ascii="Times New Roman" w:hAnsi="Times New Roman"/>
          <w:sz w:val="24"/>
          <w:szCs w:val="24"/>
        </w:rPr>
        <w:t xml:space="preserve">that fits most closely with the </w:t>
      </w:r>
      <w:r w:rsidR="00D330F7" w:rsidRPr="00FE262B">
        <w:rPr>
          <w:rFonts w:ascii="Times New Roman" w:hAnsi="Times New Roman"/>
          <w:sz w:val="24"/>
          <w:szCs w:val="24"/>
        </w:rPr>
        <w:t xml:space="preserve">purposes of the </w:t>
      </w:r>
      <w:r w:rsidR="00BB1ABA">
        <w:rPr>
          <w:rFonts w:ascii="Times New Roman" w:hAnsi="Times New Roman"/>
          <w:sz w:val="24"/>
          <w:szCs w:val="24"/>
        </w:rPr>
        <w:t xml:space="preserve">Act, as demonstrated by the legislative history. </w:t>
      </w:r>
    </w:p>
    <w:p w14:paraId="759C5E0E" w14:textId="77777777" w:rsidR="00D330F7" w:rsidRPr="00FE262B" w:rsidRDefault="00D330F7">
      <w:pPr>
        <w:spacing w:after="0" w:line="480" w:lineRule="auto"/>
        <w:ind w:firstLine="720"/>
        <w:rPr>
          <w:rFonts w:ascii="Times New Roman" w:hAnsi="Times New Roman"/>
          <w:b/>
          <w:sz w:val="24"/>
          <w:szCs w:val="24"/>
        </w:rPr>
      </w:pPr>
    </w:p>
    <w:p w14:paraId="0AD14789" w14:textId="77777777" w:rsidR="00D330F7" w:rsidRPr="00FE262B" w:rsidRDefault="00D330F7" w:rsidP="00C267BC">
      <w:pPr>
        <w:pStyle w:val="ListParagraph"/>
        <w:numPr>
          <w:ilvl w:val="0"/>
          <w:numId w:val="2"/>
        </w:numPr>
        <w:spacing w:after="240" w:line="240" w:lineRule="auto"/>
        <w:rPr>
          <w:rFonts w:ascii="Times New Roman" w:hAnsi="Times New Roman"/>
          <w:b/>
          <w:sz w:val="24"/>
          <w:szCs w:val="24"/>
        </w:rPr>
      </w:pPr>
      <w:r w:rsidRPr="00FE262B">
        <w:rPr>
          <w:rFonts w:ascii="Times New Roman" w:hAnsi="Times New Roman"/>
          <w:b/>
          <w:sz w:val="24"/>
          <w:szCs w:val="24"/>
        </w:rPr>
        <w:lastRenderedPageBreak/>
        <w:t xml:space="preserve">As a policy matter, the default should be for the court to preserve any copyright ownership to the original creator of the work, and the Rule of Lenity supports resolving ambiguities for the defendant. </w:t>
      </w:r>
    </w:p>
    <w:p w14:paraId="19B1FD68" w14:textId="77777777" w:rsidR="00D330F7" w:rsidRPr="00FE262B" w:rsidRDefault="00D330F7" w:rsidP="001A62F8">
      <w:pPr>
        <w:spacing w:line="480" w:lineRule="auto"/>
        <w:ind w:firstLine="720"/>
        <w:rPr>
          <w:rFonts w:ascii="Times New Roman" w:hAnsi="Times New Roman"/>
          <w:sz w:val="24"/>
          <w:szCs w:val="24"/>
        </w:rPr>
      </w:pPr>
      <w:r w:rsidRPr="00FE262B">
        <w:rPr>
          <w:rFonts w:ascii="Times New Roman" w:hAnsi="Times New Roman"/>
          <w:sz w:val="24"/>
          <w:szCs w:val="24"/>
        </w:rPr>
        <w:t>In cases of textual ambiguity, policy arguments become</w:t>
      </w:r>
      <w:r w:rsidR="00EB3CF2" w:rsidRPr="00FE262B">
        <w:rPr>
          <w:rFonts w:ascii="Times New Roman" w:hAnsi="Times New Roman"/>
          <w:sz w:val="24"/>
          <w:szCs w:val="24"/>
        </w:rPr>
        <w:t xml:space="preserve"> all the more</w:t>
      </w:r>
      <w:r w:rsidRPr="00FE262B">
        <w:rPr>
          <w:rFonts w:ascii="Times New Roman" w:hAnsi="Times New Roman"/>
          <w:sz w:val="24"/>
          <w:szCs w:val="24"/>
        </w:rPr>
        <w:t xml:space="preserve"> important to supplement the text and legislative purpose. The Rule of Lenity </w:t>
      </w:r>
      <w:r w:rsidR="00EB3CF2" w:rsidRPr="00FE262B">
        <w:rPr>
          <w:rFonts w:ascii="Times New Roman" w:hAnsi="Times New Roman"/>
          <w:sz w:val="24"/>
          <w:szCs w:val="24"/>
        </w:rPr>
        <w:t xml:space="preserve">provides that in cases of textual ambiguity, when the statute may invoke criminal penalties, the court should construe any uncertainty in a way that favors the defendant. The Rule of Lenity is applicable here, given violations of the Copyright Act can result in criminal penalties, and thus, given the uncertainty in this case the court should rule for the defendant. </w:t>
      </w:r>
    </w:p>
    <w:p w14:paraId="5C533FD1" w14:textId="77777777" w:rsidR="00D330F7" w:rsidRPr="00FE262B" w:rsidRDefault="00D330F7" w:rsidP="001A62F8">
      <w:pPr>
        <w:pStyle w:val="ListParagraph"/>
        <w:numPr>
          <w:ilvl w:val="0"/>
          <w:numId w:val="12"/>
        </w:numPr>
        <w:spacing w:line="240" w:lineRule="auto"/>
        <w:rPr>
          <w:rFonts w:ascii="Times New Roman" w:hAnsi="Times New Roman"/>
          <w:sz w:val="24"/>
          <w:szCs w:val="24"/>
        </w:rPr>
      </w:pPr>
      <w:r w:rsidRPr="00FE262B">
        <w:rPr>
          <w:rFonts w:ascii="Times New Roman" w:hAnsi="Times New Roman"/>
          <w:b/>
          <w:sz w:val="24"/>
          <w:szCs w:val="24"/>
        </w:rPr>
        <w:t xml:space="preserve">The “works made for hire” doctrine of the Copyright Act should be construed to favor the creator in cases of uncertainty. </w:t>
      </w:r>
    </w:p>
    <w:p w14:paraId="00C4283F" w14:textId="77777777" w:rsidR="00D330F7" w:rsidRPr="00FE262B" w:rsidRDefault="00D330F7" w:rsidP="00C82472">
      <w:pPr>
        <w:pStyle w:val="ListParagraph"/>
        <w:spacing w:after="0" w:line="240" w:lineRule="auto"/>
        <w:ind w:left="1800"/>
        <w:rPr>
          <w:rFonts w:ascii="Times New Roman" w:hAnsi="Times New Roman"/>
          <w:sz w:val="24"/>
          <w:szCs w:val="24"/>
        </w:rPr>
      </w:pPr>
    </w:p>
    <w:p w14:paraId="00489AE9" w14:textId="77777777" w:rsidR="00D330F7" w:rsidRPr="00FE262B" w:rsidRDefault="00D330F7" w:rsidP="001A62F8">
      <w:pPr>
        <w:spacing w:line="480" w:lineRule="auto"/>
        <w:ind w:firstLine="720"/>
        <w:rPr>
          <w:rFonts w:ascii="Times New Roman" w:hAnsi="Times New Roman"/>
          <w:sz w:val="24"/>
          <w:szCs w:val="24"/>
        </w:rPr>
      </w:pPr>
      <w:r w:rsidRPr="00FE262B">
        <w:rPr>
          <w:rFonts w:ascii="Times New Roman" w:hAnsi="Times New Roman"/>
          <w:sz w:val="24"/>
          <w:szCs w:val="24"/>
        </w:rPr>
        <w:t xml:space="preserve">In cases where the text is silent or unclear, the creator or author of the work should be given the benefit of the doubt. The legislatures and revisers of the Copyright Act were very concerned with the retention of copyright by the original creator. </w:t>
      </w:r>
      <w:r w:rsidR="00D373F5" w:rsidRPr="00FE262B">
        <w:rPr>
          <w:rFonts w:ascii="Times New Roman" w:hAnsi="Times New Roman"/>
          <w:sz w:val="24"/>
          <w:szCs w:val="24"/>
        </w:rPr>
        <w:t xml:space="preserve">Favoring the creator </w:t>
      </w:r>
      <w:r w:rsidRPr="00FE262B">
        <w:rPr>
          <w:rFonts w:ascii="Times New Roman" w:hAnsi="Times New Roman"/>
          <w:sz w:val="24"/>
          <w:szCs w:val="24"/>
        </w:rPr>
        <w:t xml:space="preserve">is the correct approach as he/she is the person who actually created the sought after idea or item. Section 201(a) of the Copyright Act of 1976 suggests that copyright ownership “vests initially in the author or authors of the work.” </w:t>
      </w:r>
      <w:proofErr w:type="gramStart"/>
      <w:r w:rsidRPr="00FE262B">
        <w:rPr>
          <w:rFonts w:ascii="Times New Roman" w:hAnsi="Times New Roman"/>
          <w:sz w:val="24"/>
          <w:szCs w:val="24"/>
        </w:rPr>
        <w:t>17 U.S.C. § 201 (2006).</w:t>
      </w:r>
      <w:proofErr w:type="gramEnd"/>
      <w:r w:rsidRPr="00FE262B">
        <w:rPr>
          <w:rFonts w:ascii="Times New Roman" w:hAnsi="Times New Roman"/>
          <w:sz w:val="24"/>
          <w:szCs w:val="24"/>
        </w:rPr>
        <w:t xml:space="preserve"> This provision shows that the default is that the </w:t>
      </w:r>
      <w:proofErr w:type="gramStart"/>
      <w:r w:rsidRPr="00FE262B">
        <w:rPr>
          <w:rFonts w:ascii="Times New Roman" w:hAnsi="Times New Roman"/>
          <w:sz w:val="24"/>
          <w:szCs w:val="24"/>
        </w:rPr>
        <w:t>author retain</w:t>
      </w:r>
      <w:proofErr w:type="gramEnd"/>
      <w:r w:rsidRPr="00FE262B">
        <w:rPr>
          <w:rFonts w:ascii="Times New Roman" w:hAnsi="Times New Roman"/>
          <w:sz w:val="24"/>
          <w:szCs w:val="24"/>
        </w:rPr>
        <w:t xml:space="preserve"> copyright ownership, and in cases of ambiguity, the court should revert back to that provision. It only follows that in times of ambiguity the creator should get the benefit of the doubt, given he/she is responsible for bringing the object into existence. In cases such as this one, when the defendant is the creator, that should especially be the case. </w:t>
      </w:r>
    </w:p>
    <w:p w14:paraId="7C6B7B96" w14:textId="77777777" w:rsidR="00D330F7" w:rsidRPr="00FE262B" w:rsidRDefault="00D330F7" w:rsidP="001A62F8">
      <w:pPr>
        <w:pStyle w:val="ListParagraph"/>
        <w:numPr>
          <w:ilvl w:val="0"/>
          <w:numId w:val="12"/>
        </w:numPr>
        <w:spacing w:line="240" w:lineRule="auto"/>
        <w:rPr>
          <w:rFonts w:ascii="Times New Roman" w:hAnsi="Times New Roman"/>
          <w:b/>
          <w:sz w:val="24"/>
          <w:szCs w:val="24"/>
        </w:rPr>
      </w:pPr>
      <w:r w:rsidRPr="00FE262B">
        <w:rPr>
          <w:rFonts w:ascii="Times New Roman" w:hAnsi="Times New Roman"/>
          <w:b/>
          <w:sz w:val="24"/>
          <w:szCs w:val="24"/>
        </w:rPr>
        <w:t xml:space="preserve">The Rule of Lenity, which states that any ambiguous aspects of a statute should be construed to favor the defendant, applies in this case. </w:t>
      </w:r>
    </w:p>
    <w:p w14:paraId="427135DE" w14:textId="77777777" w:rsidR="00D330F7" w:rsidRPr="00FE262B" w:rsidRDefault="00D330F7" w:rsidP="00C82472">
      <w:pPr>
        <w:pStyle w:val="ListParagraph"/>
        <w:spacing w:after="0" w:line="240" w:lineRule="auto"/>
        <w:ind w:left="2520"/>
        <w:rPr>
          <w:rFonts w:ascii="Times New Roman" w:hAnsi="Times New Roman"/>
          <w:b/>
          <w:sz w:val="24"/>
          <w:szCs w:val="24"/>
        </w:rPr>
      </w:pPr>
    </w:p>
    <w:p w14:paraId="0C2C6A48" w14:textId="77777777" w:rsidR="00D330F7" w:rsidRPr="00FE262B" w:rsidRDefault="00D330F7" w:rsidP="00283BC8">
      <w:pPr>
        <w:spacing w:after="0" w:line="480" w:lineRule="auto"/>
        <w:ind w:firstLine="720"/>
        <w:rPr>
          <w:rFonts w:ascii="Times New Roman" w:hAnsi="Times New Roman"/>
          <w:sz w:val="24"/>
          <w:szCs w:val="24"/>
        </w:rPr>
      </w:pPr>
      <w:r w:rsidRPr="00FE262B">
        <w:rPr>
          <w:rFonts w:ascii="Times New Roman" w:hAnsi="Times New Roman"/>
          <w:sz w:val="24"/>
          <w:szCs w:val="24"/>
        </w:rPr>
        <w:lastRenderedPageBreak/>
        <w:t>The Rule of Lenity serves to further support th</w:t>
      </w:r>
      <w:r w:rsidR="001661EB" w:rsidRPr="00FE262B">
        <w:rPr>
          <w:rFonts w:ascii="Times New Roman" w:hAnsi="Times New Roman"/>
          <w:sz w:val="24"/>
          <w:szCs w:val="24"/>
        </w:rPr>
        <w:t>e</w:t>
      </w:r>
      <w:r w:rsidRPr="00FE262B">
        <w:rPr>
          <w:rFonts w:ascii="Times New Roman" w:hAnsi="Times New Roman"/>
          <w:sz w:val="24"/>
          <w:szCs w:val="24"/>
        </w:rPr>
        <w:t xml:space="preserve"> proposition </w:t>
      </w:r>
      <w:r w:rsidR="001661EB" w:rsidRPr="00FE262B">
        <w:rPr>
          <w:rFonts w:ascii="Times New Roman" w:hAnsi="Times New Roman"/>
          <w:sz w:val="24"/>
          <w:szCs w:val="24"/>
        </w:rPr>
        <w:t xml:space="preserve">that in cases of uncertainty the court should rule for the defendant, </w:t>
      </w:r>
      <w:r w:rsidRPr="00FE262B">
        <w:rPr>
          <w:rFonts w:ascii="Times New Roman" w:hAnsi="Times New Roman"/>
          <w:sz w:val="24"/>
          <w:szCs w:val="24"/>
        </w:rPr>
        <w:t xml:space="preserve">and should be applied to this case. </w:t>
      </w:r>
      <w:r w:rsidRPr="00FE262B">
        <w:rPr>
          <w:rStyle w:val="commentbody"/>
          <w:rFonts w:ascii="Times New Roman" w:hAnsi="Times New Roman"/>
          <w:sz w:val="24"/>
          <w:szCs w:val="24"/>
        </w:rPr>
        <w:t>The Rule of Lenity applies in cases of textual ambiguity</w:t>
      </w:r>
      <w:r w:rsidRPr="00FE262B">
        <w:rPr>
          <w:rFonts w:ascii="Times New Roman" w:hAnsi="Times New Roman"/>
          <w:sz w:val="24"/>
          <w:szCs w:val="24"/>
        </w:rPr>
        <w:t xml:space="preserve"> when</w:t>
      </w:r>
      <w:r w:rsidRPr="00FE262B">
        <w:rPr>
          <w:rStyle w:val="commentbody"/>
          <w:rFonts w:ascii="Times New Roman" w:hAnsi="Times New Roman"/>
          <w:sz w:val="24"/>
          <w:szCs w:val="24"/>
        </w:rPr>
        <w:t xml:space="preserve"> a statute indicates both civil and criminal penalties. </w:t>
      </w:r>
      <w:r w:rsidRPr="00FE262B">
        <w:rPr>
          <w:rFonts w:ascii="Times New Roman" w:hAnsi="Times New Roman"/>
          <w:sz w:val="24"/>
          <w:szCs w:val="24"/>
          <w:u w:val="single"/>
        </w:rPr>
        <w:t>United States v. Thompson/Center Arms Company</w:t>
      </w:r>
      <w:r w:rsidRPr="00FE262B">
        <w:rPr>
          <w:rFonts w:ascii="Times New Roman" w:hAnsi="Times New Roman"/>
          <w:sz w:val="24"/>
          <w:szCs w:val="24"/>
        </w:rPr>
        <w:t xml:space="preserve"> 504 U.S. 505, 518 (1992).</w:t>
      </w:r>
      <w:r w:rsidRPr="00FE262B">
        <w:rPr>
          <w:rStyle w:val="commentbody"/>
          <w:rFonts w:ascii="Times New Roman" w:hAnsi="Times New Roman"/>
          <w:sz w:val="24"/>
          <w:szCs w:val="24"/>
        </w:rPr>
        <w:t xml:space="preserve"> </w:t>
      </w:r>
      <w:r w:rsidRPr="00FE262B">
        <w:rPr>
          <w:rFonts w:ascii="Times New Roman" w:hAnsi="Times New Roman"/>
          <w:sz w:val="24"/>
          <w:szCs w:val="24"/>
        </w:rPr>
        <w:t xml:space="preserve">Section 506 of the Copyright Act demonstrates that violations of the Copyright Act may be penalized criminally. </w:t>
      </w:r>
      <w:proofErr w:type="gramStart"/>
      <w:r w:rsidRPr="00FE262B">
        <w:rPr>
          <w:rFonts w:ascii="Times New Roman" w:hAnsi="Times New Roman"/>
          <w:sz w:val="24"/>
          <w:szCs w:val="24"/>
        </w:rPr>
        <w:t>17 U.S.C. § 506 (2006</w:t>
      </w:r>
      <w:r w:rsidR="001661EB" w:rsidRPr="00FE262B">
        <w:rPr>
          <w:rFonts w:ascii="Times New Roman" w:hAnsi="Times New Roman"/>
          <w:sz w:val="24"/>
          <w:szCs w:val="24"/>
        </w:rPr>
        <w:t>).</w:t>
      </w:r>
      <w:proofErr w:type="gramEnd"/>
      <w:r w:rsidR="001661EB" w:rsidRPr="00FE262B">
        <w:rPr>
          <w:rFonts w:ascii="Times New Roman" w:hAnsi="Times New Roman"/>
          <w:sz w:val="24"/>
          <w:szCs w:val="24"/>
        </w:rPr>
        <w:t xml:space="preserve"> </w:t>
      </w:r>
      <w:r w:rsidRPr="00FE262B">
        <w:rPr>
          <w:rStyle w:val="commentbody"/>
          <w:rFonts w:ascii="Times New Roman" w:hAnsi="Times New Roman"/>
          <w:sz w:val="24"/>
          <w:szCs w:val="24"/>
        </w:rPr>
        <w:t xml:space="preserve">The court in </w:t>
      </w:r>
      <w:r w:rsidRPr="00FE262B">
        <w:rPr>
          <w:rStyle w:val="commentbody"/>
          <w:rFonts w:ascii="Times New Roman" w:hAnsi="Times New Roman"/>
          <w:i/>
          <w:sz w:val="24"/>
          <w:szCs w:val="24"/>
        </w:rPr>
        <w:t>Crandon</w:t>
      </w:r>
      <w:r w:rsidRPr="00FE262B">
        <w:rPr>
          <w:rStyle w:val="commentbody"/>
          <w:rFonts w:ascii="Times New Roman" w:hAnsi="Times New Roman"/>
          <w:sz w:val="24"/>
          <w:szCs w:val="24"/>
        </w:rPr>
        <w:t xml:space="preserve"> applied the Rule of Lenity and reasoned that </w:t>
      </w:r>
      <w:r w:rsidRPr="00FE262B">
        <w:rPr>
          <w:rFonts w:ascii="Times New Roman" w:hAnsi="Times New Roman"/>
          <w:sz w:val="24"/>
          <w:szCs w:val="24"/>
        </w:rPr>
        <w:t xml:space="preserve">to the extent that the language or history is uncertain, this “time-honored interpretive guideline” serves to ensure both that there is fair warning of the boundaries of criminal conduct and that legislatures, not courts, define criminal liability. </w:t>
      </w:r>
      <w:proofErr w:type="gramStart"/>
      <w:r w:rsidRPr="00FE262B">
        <w:rPr>
          <w:rFonts w:ascii="Times New Roman" w:hAnsi="Times New Roman"/>
          <w:sz w:val="24"/>
          <w:szCs w:val="24"/>
          <w:u w:val="single"/>
        </w:rPr>
        <w:t>Crandon v. United States</w:t>
      </w:r>
      <w:r w:rsidRPr="00FE262B">
        <w:rPr>
          <w:rFonts w:ascii="Times New Roman" w:hAnsi="Times New Roman"/>
          <w:sz w:val="24"/>
          <w:szCs w:val="24"/>
        </w:rPr>
        <w:t>, 494 U.S. 152, 158 (1990).</w:t>
      </w:r>
      <w:proofErr w:type="gramEnd"/>
      <w:r w:rsidRPr="00FE262B">
        <w:rPr>
          <w:rFonts w:ascii="Times New Roman" w:hAnsi="Times New Roman"/>
          <w:sz w:val="24"/>
          <w:szCs w:val="24"/>
        </w:rPr>
        <w:t xml:space="preserve"> Thus, the Rule of Lenity is applicable since the Copyright Act may be punishable through criminal penalties, in the case at hand there are ambiguities in the statute, and, therefore, the Rule of Lenity dictates the court should resolve this case in favor of the defendant. </w:t>
      </w:r>
    </w:p>
    <w:p w14:paraId="1EF5FD76" w14:textId="77777777" w:rsidR="00D330F7" w:rsidRPr="00FE262B" w:rsidRDefault="00D330F7" w:rsidP="00283BC8">
      <w:pPr>
        <w:spacing w:after="0" w:line="480" w:lineRule="auto"/>
        <w:ind w:firstLine="720"/>
        <w:rPr>
          <w:rFonts w:ascii="Times New Roman" w:hAnsi="Times New Roman"/>
          <w:sz w:val="24"/>
          <w:szCs w:val="24"/>
        </w:rPr>
      </w:pPr>
      <w:r w:rsidRPr="00FE262B">
        <w:rPr>
          <w:rFonts w:ascii="Times New Roman" w:hAnsi="Times New Roman"/>
          <w:sz w:val="24"/>
          <w:szCs w:val="24"/>
        </w:rPr>
        <w:t>In conclu</w:t>
      </w:r>
      <w:r w:rsidR="00FE262B" w:rsidRPr="00FE262B">
        <w:rPr>
          <w:rFonts w:ascii="Times New Roman" w:hAnsi="Times New Roman"/>
          <w:sz w:val="24"/>
          <w:szCs w:val="24"/>
        </w:rPr>
        <w:t>sion</w:t>
      </w:r>
      <w:r w:rsidRPr="00FE262B">
        <w:rPr>
          <w:rFonts w:ascii="Times New Roman" w:hAnsi="Times New Roman"/>
          <w:sz w:val="24"/>
          <w:szCs w:val="24"/>
        </w:rPr>
        <w:t xml:space="preserve">, the legislature intended to protect the creator of the work, and the court should honor that intention. The Rule of Lenity, which is applicable in this case, mandates that in cases of statutory ambiguity or uncertainty, the </w:t>
      </w:r>
      <w:r w:rsidR="00FE262B" w:rsidRPr="00FE262B">
        <w:rPr>
          <w:rFonts w:ascii="Times New Roman" w:hAnsi="Times New Roman"/>
          <w:sz w:val="24"/>
          <w:szCs w:val="24"/>
        </w:rPr>
        <w:t>c</w:t>
      </w:r>
      <w:r w:rsidRPr="00FE262B">
        <w:rPr>
          <w:rFonts w:ascii="Times New Roman" w:hAnsi="Times New Roman"/>
          <w:sz w:val="24"/>
          <w:szCs w:val="24"/>
        </w:rPr>
        <w:t>ourt should favor the defendant</w:t>
      </w:r>
      <w:r w:rsidR="00B844FB" w:rsidRPr="00FE262B">
        <w:rPr>
          <w:rFonts w:ascii="Times New Roman" w:hAnsi="Times New Roman"/>
          <w:sz w:val="24"/>
          <w:szCs w:val="24"/>
        </w:rPr>
        <w:t xml:space="preserve">. </w:t>
      </w:r>
      <w:r w:rsidRPr="00FE262B">
        <w:rPr>
          <w:rFonts w:ascii="Times New Roman" w:hAnsi="Times New Roman"/>
          <w:sz w:val="24"/>
          <w:szCs w:val="24"/>
        </w:rPr>
        <w:t>Thus, as a policy matter, the court should rule for Defendant.</w:t>
      </w:r>
    </w:p>
    <w:p w14:paraId="5E095F46" w14:textId="77777777" w:rsidR="00D330F7" w:rsidRPr="00FE262B" w:rsidRDefault="00D330F7" w:rsidP="00283BC8">
      <w:pPr>
        <w:spacing w:after="0" w:line="480" w:lineRule="auto"/>
        <w:ind w:firstLine="720"/>
        <w:rPr>
          <w:rFonts w:ascii="Times New Roman" w:hAnsi="Times New Roman"/>
          <w:sz w:val="24"/>
          <w:szCs w:val="24"/>
        </w:rPr>
      </w:pPr>
    </w:p>
    <w:p w14:paraId="2898DE3E" w14:textId="77777777" w:rsidR="00D330F7" w:rsidRPr="00FE262B" w:rsidRDefault="00D330F7" w:rsidP="00C267BC">
      <w:pPr>
        <w:spacing w:after="0" w:line="480" w:lineRule="auto"/>
        <w:ind w:left="2880" w:firstLine="720"/>
        <w:rPr>
          <w:rFonts w:ascii="Times New Roman" w:hAnsi="Times New Roman"/>
          <w:b/>
          <w:sz w:val="24"/>
          <w:szCs w:val="24"/>
        </w:rPr>
      </w:pPr>
      <w:r w:rsidRPr="00FE262B">
        <w:rPr>
          <w:rFonts w:ascii="Times New Roman" w:hAnsi="Times New Roman"/>
          <w:b/>
          <w:sz w:val="24"/>
          <w:szCs w:val="24"/>
        </w:rPr>
        <w:t>CONCLUSION</w:t>
      </w:r>
    </w:p>
    <w:p w14:paraId="0B92B3E3" w14:textId="77777777" w:rsidR="00D330F7" w:rsidRPr="00FE262B" w:rsidRDefault="00D330F7" w:rsidP="00035686">
      <w:pPr>
        <w:spacing w:after="240" w:line="480" w:lineRule="auto"/>
        <w:ind w:firstLine="720"/>
        <w:rPr>
          <w:rFonts w:ascii="Times New Roman" w:hAnsi="Times New Roman"/>
          <w:sz w:val="24"/>
          <w:szCs w:val="24"/>
        </w:rPr>
      </w:pPr>
      <w:r w:rsidRPr="00FE262B">
        <w:rPr>
          <w:rFonts w:ascii="Times New Roman" w:hAnsi="Times New Roman"/>
          <w:sz w:val="24"/>
          <w:szCs w:val="24"/>
        </w:rPr>
        <w:t>The plain language of the Copyright Act of 1976 suggests that there must be a signed written agreement before the creation of a work for the commissioner of the work to acquire copyright ownership under the “work for hire” doctrine. To interpret it otherwise would make the “transfer of copyright” and “work for hire” provisions of the act redundant, and courts have shown an unwillingness to interpret statutes in a way that would result in redundancy</w:t>
      </w:r>
      <w:r w:rsidR="00B844FB" w:rsidRPr="00FE262B">
        <w:rPr>
          <w:rFonts w:ascii="Times New Roman" w:hAnsi="Times New Roman"/>
          <w:sz w:val="24"/>
          <w:szCs w:val="24"/>
        </w:rPr>
        <w:t xml:space="preserve">. </w:t>
      </w:r>
      <w:r w:rsidRPr="00FE262B">
        <w:rPr>
          <w:rFonts w:ascii="Times New Roman" w:hAnsi="Times New Roman"/>
          <w:sz w:val="24"/>
          <w:szCs w:val="24"/>
        </w:rPr>
        <w:t xml:space="preserve">The </w:t>
      </w:r>
      <w:r w:rsidRPr="00FE262B">
        <w:rPr>
          <w:rFonts w:ascii="Times New Roman" w:hAnsi="Times New Roman"/>
          <w:sz w:val="24"/>
          <w:szCs w:val="24"/>
        </w:rPr>
        <w:lastRenderedPageBreak/>
        <w:t>legislature and revisers of the Copyright Act intended to allow the creator of a work to more easily retain the rights to his/her own work, and they intended to achieve this end through promoting clarity, predictability, and marketability. Requiring a pre-creation written requirement is the only way to reflect these purposes</w:t>
      </w:r>
      <w:r w:rsidR="00B844FB" w:rsidRPr="00FE262B">
        <w:rPr>
          <w:rFonts w:ascii="Times New Roman" w:hAnsi="Times New Roman"/>
          <w:sz w:val="24"/>
          <w:szCs w:val="24"/>
        </w:rPr>
        <w:t xml:space="preserve">. </w:t>
      </w:r>
      <w:r w:rsidRPr="00FE262B">
        <w:rPr>
          <w:rFonts w:ascii="Times New Roman" w:hAnsi="Times New Roman"/>
          <w:sz w:val="24"/>
          <w:szCs w:val="24"/>
        </w:rPr>
        <w:t>Barbara Ringer’s, reviser of the Copyright Act, statement that the Act requires a pre-creation written agreement should be given great weight as it provides context in understanding the atmosphere in which the revised Act was created. The requiring of a pre-creation written instrument, as was done by the Seventh and Ninth Circuit Courts, is the approach that fits most closely with the purposes of the Act</w:t>
      </w:r>
      <w:r w:rsidR="00FE262B" w:rsidRPr="00FE262B">
        <w:rPr>
          <w:rFonts w:ascii="Times New Roman" w:hAnsi="Times New Roman"/>
          <w:sz w:val="24"/>
          <w:szCs w:val="24"/>
        </w:rPr>
        <w:t xml:space="preserve">. </w:t>
      </w:r>
      <w:r w:rsidRPr="00FE262B">
        <w:rPr>
          <w:rFonts w:ascii="Times New Roman" w:hAnsi="Times New Roman"/>
          <w:sz w:val="24"/>
          <w:szCs w:val="24"/>
        </w:rPr>
        <w:t>Last, as</w:t>
      </w:r>
      <w:r w:rsidR="00F214AD">
        <w:rPr>
          <w:rFonts w:ascii="Times New Roman" w:hAnsi="Times New Roman"/>
          <w:sz w:val="24"/>
          <w:szCs w:val="24"/>
        </w:rPr>
        <w:t xml:space="preserve"> a policy matter and under the Rule of Lenity,</w:t>
      </w:r>
      <w:r w:rsidRPr="00FE262B">
        <w:rPr>
          <w:rFonts w:ascii="Times New Roman" w:hAnsi="Times New Roman"/>
          <w:sz w:val="24"/>
          <w:szCs w:val="24"/>
        </w:rPr>
        <w:t xml:space="preserve"> </w:t>
      </w:r>
      <w:r w:rsidR="00C12D16">
        <w:rPr>
          <w:rFonts w:ascii="Times New Roman" w:hAnsi="Times New Roman"/>
          <w:sz w:val="24"/>
          <w:szCs w:val="24"/>
        </w:rPr>
        <w:t xml:space="preserve">in cases of ambiguity, the court should </w:t>
      </w:r>
      <w:r w:rsidR="00C12D16" w:rsidRPr="00FE262B">
        <w:rPr>
          <w:rFonts w:ascii="Times New Roman" w:hAnsi="Times New Roman"/>
          <w:sz w:val="24"/>
          <w:szCs w:val="24"/>
        </w:rPr>
        <w:t>reserve any copyright ownership to the original creator of the work</w:t>
      </w:r>
      <w:r w:rsidR="00C12D16">
        <w:rPr>
          <w:rFonts w:ascii="Times New Roman" w:hAnsi="Times New Roman"/>
          <w:sz w:val="24"/>
          <w:szCs w:val="24"/>
        </w:rPr>
        <w:t>, and rule for the defendant</w:t>
      </w:r>
      <w:r w:rsidR="00F214AD">
        <w:rPr>
          <w:rFonts w:ascii="Times New Roman" w:hAnsi="Times New Roman"/>
          <w:sz w:val="24"/>
          <w:szCs w:val="24"/>
        </w:rPr>
        <w:t xml:space="preserve">. </w:t>
      </w:r>
      <w:r w:rsidRPr="00FE262B">
        <w:rPr>
          <w:rFonts w:ascii="Times New Roman" w:hAnsi="Times New Roman"/>
          <w:sz w:val="24"/>
          <w:szCs w:val="24"/>
        </w:rPr>
        <w:t>Therefore, here, the court should find that, given the lack of a pre-creation signed written “work made for hire” agreement, Plaintiff never obtained copyright ownership of Defendant’s work and, therefore, Defendant never infringed upon Plaintiff’s rights. For these reasons, the court should grant this Motion to Dismiss.</w:t>
      </w:r>
    </w:p>
    <w:p w14:paraId="160BCA42" w14:textId="77777777" w:rsidR="00D330F7" w:rsidRPr="00FE262B" w:rsidRDefault="00D330F7" w:rsidP="00CE5D31">
      <w:pPr>
        <w:tabs>
          <w:tab w:val="left" w:pos="-1440"/>
        </w:tabs>
        <w:spacing w:after="0" w:line="240" w:lineRule="auto"/>
        <w:rPr>
          <w:rFonts w:ascii="Times New Roman" w:hAnsi="Times New Roman"/>
          <w:sz w:val="24"/>
          <w:szCs w:val="24"/>
        </w:rPr>
      </w:pPr>
    </w:p>
    <w:p w14:paraId="5D5B01B1" w14:textId="77777777" w:rsidR="00D330F7" w:rsidRPr="00FE262B" w:rsidRDefault="00D330F7" w:rsidP="00CE5D31">
      <w:pPr>
        <w:tabs>
          <w:tab w:val="left" w:pos="-1440"/>
        </w:tabs>
        <w:spacing w:after="0" w:line="240" w:lineRule="auto"/>
        <w:rPr>
          <w:rFonts w:ascii="Times New Roman" w:hAnsi="Times New Roman"/>
          <w:sz w:val="24"/>
          <w:szCs w:val="24"/>
        </w:rPr>
      </w:pPr>
    </w:p>
    <w:p w14:paraId="075CDA97" w14:textId="77777777" w:rsidR="00D330F7" w:rsidRPr="00FE262B" w:rsidRDefault="00D330F7" w:rsidP="00CE5D31">
      <w:pPr>
        <w:tabs>
          <w:tab w:val="left" w:pos="-1440"/>
        </w:tabs>
        <w:spacing w:after="0" w:line="240" w:lineRule="auto"/>
        <w:rPr>
          <w:rFonts w:ascii="Times New Roman" w:hAnsi="Times New Roman"/>
          <w:sz w:val="24"/>
          <w:szCs w:val="24"/>
        </w:rPr>
      </w:pPr>
      <w:r w:rsidRPr="00FE262B">
        <w:rPr>
          <w:rFonts w:ascii="Times New Roman" w:hAnsi="Times New Roman"/>
          <w:sz w:val="24"/>
          <w:szCs w:val="24"/>
        </w:rPr>
        <w:t>Dated this 22</w:t>
      </w:r>
      <w:r w:rsidRPr="00FE262B">
        <w:rPr>
          <w:rFonts w:ascii="Times New Roman" w:hAnsi="Times New Roman"/>
          <w:sz w:val="24"/>
          <w:szCs w:val="24"/>
          <w:vertAlign w:val="superscript"/>
        </w:rPr>
        <w:t>nd</w:t>
      </w:r>
      <w:r w:rsidRPr="00FE262B">
        <w:rPr>
          <w:rFonts w:ascii="Times New Roman" w:hAnsi="Times New Roman"/>
          <w:sz w:val="24"/>
          <w:szCs w:val="24"/>
        </w:rPr>
        <w:t xml:space="preserve"> day of </w:t>
      </w:r>
      <w:proofErr w:type="gramStart"/>
      <w:r w:rsidRPr="00FE262B">
        <w:rPr>
          <w:rFonts w:ascii="Times New Roman" w:hAnsi="Times New Roman"/>
          <w:sz w:val="24"/>
          <w:szCs w:val="24"/>
        </w:rPr>
        <w:t>March,</w:t>
      </w:r>
      <w:proofErr w:type="gramEnd"/>
      <w:r w:rsidRPr="00FE262B">
        <w:rPr>
          <w:rFonts w:ascii="Times New Roman" w:hAnsi="Times New Roman"/>
          <w:sz w:val="24"/>
          <w:szCs w:val="24"/>
        </w:rPr>
        <w:t xml:space="preserve"> 2012.</w:t>
      </w:r>
      <w:r w:rsidRPr="00FE262B">
        <w:rPr>
          <w:rFonts w:ascii="Times New Roman" w:hAnsi="Times New Roman"/>
          <w:sz w:val="24"/>
          <w:szCs w:val="24"/>
        </w:rPr>
        <w:tab/>
      </w:r>
      <w:r w:rsidRPr="00FE262B">
        <w:rPr>
          <w:rFonts w:ascii="Times New Roman" w:hAnsi="Times New Roman"/>
          <w:sz w:val="24"/>
          <w:szCs w:val="24"/>
        </w:rPr>
        <w:tab/>
      </w:r>
      <w:r w:rsidRPr="00FE262B">
        <w:rPr>
          <w:rFonts w:ascii="Times New Roman" w:hAnsi="Times New Roman"/>
          <w:sz w:val="24"/>
          <w:szCs w:val="24"/>
          <w:u w:val="single"/>
        </w:rPr>
        <w:tab/>
      </w:r>
      <w:r w:rsidRPr="00FE262B">
        <w:rPr>
          <w:rFonts w:ascii="Times New Roman" w:hAnsi="Times New Roman"/>
          <w:sz w:val="24"/>
          <w:szCs w:val="24"/>
          <w:u w:val="single"/>
        </w:rPr>
        <w:tab/>
      </w:r>
      <w:r w:rsidRPr="00FE262B">
        <w:rPr>
          <w:rFonts w:ascii="Times New Roman" w:hAnsi="Times New Roman"/>
          <w:sz w:val="24"/>
          <w:szCs w:val="24"/>
          <w:u w:val="single"/>
        </w:rPr>
        <w:tab/>
      </w:r>
      <w:r w:rsidRPr="00FE262B">
        <w:rPr>
          <w:rFonts w:ascii="Times New Roman" w:hAnsi="Times New Roman"/>
          <w:sz w:val="24"/>
          <w:szCs w:val="24"/>
          <w:u w:val="single"/>
        </w:rPr>
        <w:tab/>
      </w:r>
      <w:r w:rsidRPr="00FE262B">
        <w:rPr>
          <w:rFonts w:ascii="Times New Roman" w:hAnsi="Times New Roman"/>
          <w:sz w:val="24"/>
          <w:szCs w:val="24"/>
          <w:u w:val="single"/>
        </w:rPr>
        <w:tab/>
      </w:r>
      <w:r w:rsidRPr="00FE262B">
        <w:rPr>
          <w:rFonts w:ascii="Times New Roman" w:hAnsi="Times New Roman"/>
          <w:sz w:val="24"/>
          <w:szCs w:val="24"/>
          <w:u w:val="single"/>
        </w:rPr>
        <w:tab/>
      </w:r>
    </w:p>
    <w:p w14:paraId="103A8CEE" w14:textId="77777777" w:rsidR="00D330F7" w:rsidRPr="00FE262B" w:rsidRDefault="00D330F7" w:rsidP="00A22D65">
      <w:pPr>
        <w:tabs>
          <w:tab w:val="left" w:pos="-1440"/>
          <w:tab w:val="left" w:pos="5040"/>
        </w:tabs>
        <w:spacing w:after="0" w:line="240" w:lineRule="auto"/>
        <w:rPr>
          <w:rFonts w:ascii="Times New Roman" w:hAnsi="Times New Roman"/>
          <w:sz w:val="24"/>
          <w:szCs w:val="24"/>
        </w:rPr>
      </w:pPr>
      <w:r w:rsidRPr="00FE262B">
        <w:rPr>
          <w:rFonts w:ascii="Times New Roman" w:hAnsi="Times New Roman"/>
          <w:sz w:val="24"/>
          <w:szCs w:val="24"/>
        </w:rPr>
        <w:tab/>
        <w:t xml:space="preserve"> </w:t>
      </w:r>
      <w:r w:rsidR="00A22D65">
        <w:rPr>
          <w:rFonts w:ascii="Times New Roman" w:eastAsia="Times New Roman" w:hAnsi="Times New Roman"/>
          <w:sz w:val="24"/>
          <w:szCs w:val="24"/>
        </w:rPr>
        <w:t>&lt;redacted&gt;&lt;/redacted&gt;</w:t>
      </w:r>
      <w:bookmarkStart w:id="0" w:name="_GoBack"/>
      <w:bookmarkEnd w:id="0"/>
    </w:p>
    <w:p w14:paraId="313D312C" w14:textId="77777777" w:rsidR="00D330F7" w:rsidRPr="00FE262B" w:rsidRDefault="00D330F7" w:rsidP="002B2465">
      <w:pPr>
        <w:tabs>
          <w:tab w:val="left" w:pos="-1440"/>
          <w:tab w:val="left" w:pos="5040"/>
        </w:tabs>
        <w:spacing w:after="0" w:line="240" w:lineRule="auto"/>
        <w:rPr>
          <w:rFonts w:ascii="Times New Roman" w:hAnsi="Times New Roman"/>
          <w:sz w:val="24"/>
          <w:szCs w:val="24"/>
        </w:rPr>
      </w:pPr>
      <w:r w:rsidRPr="00FE262B">
        <w:rPr>
          <w:rFonts w:ascii="Times New Roman" w:hAnsi="Times New Roman"/>
          <w:sz w:val="24"/>
          <w:szCs w:val="24"/>
        </w:rPr>
        <w:tab/>
      </w:r>
    </w:p>
    <w:p w14:paraId="13942CFE" w14:textId="77777777" w:rsidR="00D330F7" w:rsidRDefault="00D330F7" w:rsidP="00035686">
      <w:pPr>
        <w:tabs>
          <w:tab w:val="left" w:pos="-1440"/>
        </w:tabs>
        <w:spacing w:after="0" w:line="240" w:lineRule="auto"/>
      </w:pPr>
    </w:p>
    <w:sectPr w:rsidR="00D330F7" w:rsidSect="00CE5D31">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4DE9C" w14:textId="77777777" w:rsidR="009B445C" w:rsidRDefault="009B445C" w:rsidP="0033638D">
      <w:pPr>
        <w:spacing w:after="0" w:line="240" w:lineRule="auto"/>
      </w:pPr>
      <w:r>
        <w:separator/>
      </w:r>
    </w:p>
  </w:endnote>
  <w:endnote w:type="continuationSeparator" w:id="0">
    <w:p w14:paraId="2069AE05" w14:textId="77777777" w:rsidR="009B445C" w:rsidRDefault="009B445C" w:rsidP="0033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ED51B" w14:textId="77777777" w:rsidR="009B445C" w:rsidRDefault="009B445C" w:rsidP="0033638D">
      <w:pPr>
        <w:spacing w:after="0" w:line="240" w:lineRule="auto"/>
      </w:pPr>
      <w:r>
        <w:separator/>
      </w:r>
    </w:p>
  </w:footnote>
  <w:footnote w:type="continuationSeparator" w:id="0">
    <w:p w14:paraId="241DBD77" w14:textId="77777777" w:rsidR="009B445C" w:rsidRDefault="009B445C" w:rsidP="0033638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7308E" w14:textId="77777777" w:rsidR="00D330F7" w:rsidRDefault="00B454CD">
    <w:pPr>
      <w:pStyle w:val="Header"/>
    </w:pPr>
    <w:r>
      <w:fldChar w:fldCharType="begin"/>
    </w:r>
    <w:r>
      <w:instrText xml:space="preserve"> PAGE   \* MERGEFORMAT </w:instrText>
    </w:r>
    <w:r>
      <w:fldChar w:fldCharType="separate"/>
    </w:r>
    <w:r w:rsidR="00A22D65">
      <w:rPr>
        <w:noProof/>
      </w:rPr>
      <w:t>14</w:t>
    </w:r>
    <w:r>
      <w:rPr>
        <w:noProof/>
      </w:rPr>
      <w:fldChar w:fldCharType="end"/>
    </w:r>
    <w:r w:rsidR="00D330F7">
      <w:rPr>
        <w:noProof/>
      </w:rPr>
      <w:tab/>
    </w:r>
    <w:r w:rsidR="00D330F7">
      <w:rPr>
        <w:noProof/>
      </w:rPr>
      <w:tab/>
    </w:r>
  </w:p>
  <w:p w14:paraId="4C9E98EB" w14:textId="77777777" w:rsidR="00D330F7" w:rsidRDefault="00D330F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E6A9E"/>
    <w:multiLevelType w:val="hybridMultilevel"/>
    <w:tmpl w:val="DF1AA448"/>
    <w:lvl w:ilvl="0" w:tplc="52561624">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2A680707"/>
    <w:multiLevelType w:val="hybridMultilevel"/>
    <w:tmpl w:val="C66E1CFE"/>
    <w:lvl w:ilvl="0" w:tplc="4DF8770E">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
    <w:nsid w:val="3356397D"/>
    <w:multiLevelType w:val="hybridMultilevel"/>
    <w:tmpl w:val="A4E2058A"/>
    <w:lvl w:ilvl="0" w:tplc="EDA0D700">
      <w:start w:val="1"/>
      <w:numFmt w:val="upperRoman"/>
      <w:lvlText w:val="%1."/>
      <w:lvlJc w:val="left"/>
      <w:pPr>
        <w:ind w:left="1485" w:hanging="720"/>
      </w:pPr>
      <w:rPr>
        <w:rFonts w:cs="Times New Roman" w:hint="default"/>
      </w:rPr>
    </w:lvl>
    <w:lvl w:ilvl="1" w:tplc="04090019" w:tentative="1">
      <w:start w:val="1"/>
      <w:numFmt w:val="lowerLetter"/>
      <w:lvlText w:val="%2."/>
      <w:lvlJc w:val="left"/>
      <w:pPr>
        <w:ind w:left="1845" w:hanging="360"/>
      </w:pPr>
      <w:rPr>
        <w:rFonts w:cs="Times New Roman"/>
      </w:rPr>
    </w:lvl>
    <w:lvl w:ilvl="2" w:tplc="0409001B" w:tentative="1">
      <w:start w:val="1"/>
      <w:numFmt w:val="lowerRoman"/>
      <w:lvlText w:val="%3."/>
      <w:lvlJc w:val="right"/>
      <w:pPr>
        <w:ind w:left="2565" w:hanging="180"/>
      </w:pPr>
      <w:rPr>
        <w:rFonts w:cs="Times New Roman"/>
      </w:rPr>
    </w:lvl>
    <w:lvl w:ilvl="3" w:tplc="0409000F" w:tentative="1">
      <w:start w:val="1"/>
      <w:numFmt w:val="decimal"/>
      <w:lvlText w:val="%4."/>
      <w:lvlJc w:val="left"/>
      <w:pPr>
        <w:ind w:left="3285" w:hanging="360"/>
      </w:pPr>
      <w:rPr>
        <w:rFonts w:cs="Times New Roman"/>
      </w:rPr>
    </w:lvl>
    <w:lvl w:ilvl="4" w:tplc="04090019" w:tentative="1">
      <w:start w:val="1"/>
      <w:numFmt w:val="lowerLetter"/>
      <w:lvlText w:val="%5."/>
      <w:lvlJc w:val="left"/>
      <w:pPr>
        <w:ind w:left="4005" w:hanging="360"/>
      </w:pPr>
      <w:rPr>
        <w:rFonts w:cs="Times New Roman"/>
      </w:rPr>
    </w:lvl>
    <w:lvl w:ilvl="5" w:tplc="0409001B" w:tentative="1">
      <w:start w:val="1"/>
      <w:numFmt w:val="lowerRoman"/>
      <w:lvlText w:val="%6."/>
      <w:lvlJc w:val="right"/>
      <w:pPr>
        <w:ind w:left="4725" w:hanging="180"/>
      </w:pPr>
      <w:rPr>
        <w:rFonts w:cs="Times New Roman"/>
      </w:rPr>
    </w:lvl>
    <w:lvl w:ilvl="6" w:tplc="0409000F" w:tentative="1">
      <w:start w:val="1"/>
      <w:numFmt w:val="decimal"/>
      <w:lvlText w:val="%7."/>
      <w:lvlJc w:val="left"/>
      <w:pPr>
        <w:ind w:left="5445" w:hanging="360"/>
      </w:pPr>
      <w:rPr>
        <w:rFonts w:cs="Times New Roman"/>
      </w:rPr>
    </w:lvl>
    <w:lvl w:ilvl="7" w:tplc="04090019" w:tentative="1">
      <w:start w:val="1"/>
      <w:numFmt w:val="lowerLetter"/>
      <w:lvlText w:val="%8."/>
      <w:lvlJc w:val="left"/>
      <w:pPr>
        <w:ind w:left="6165" w:hanging="360"/>
      </w:pPr>
      <w:rPr>
        <w:rFonts w:cs="Times New Roman"/>
      </w:rPr>
    </w:lvl>
    <w:lvl w:ilvl="8" w:tplc="0409001B" w:tentative="1">
      <w:start w:val="1"/>
      <w:numFmt w:val="lowerRoman"/>
      <w:lvlText w:val="%9."/>
      <w:lvlJc w:val="right"/>
      <w:pPr>
        <w:ind w:left="6885" w:hanging="180"/>
      </w:pPr>
      <w:rPr>
        <w:rFonts w:cs="Times New Roman"/>
      </w:rPr>
    </w:lvl>
  </w:abstractNum>
  <w:abstractNum w:abstractNumId="3">
    <w:nsid w:val="3FE9071A"/>
    <w:multiLevelType w:val="hybridMultilevel"/>
    <w:tmpl w:val="C66E1CFE"/>
    <w:lvl w:ilvl="0" w:tplc="4DF8770E">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4">
    <w:nsid w:val="3FFA1968"/>
    <w:multiLevelType w:val="hybridMultilevel"/>
    <w:tmpl w:val="47BEB654"/>
    <w:lvl w:ilvl="0" w:tplc="CC44DEB4">
      <w:start w:val="4"/>
      <w:numFmt w:val="upperRoman"/>
      <w:lvlText w:val="%1."/>
      <w:lvlJc w:val="left"/>
      <w:pPr>
        <w:ind w:left="1440" w:hanging="72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43A43232"/>
    <w:multiLevelType w:val="hybridMultilevel"/>
    <w:tmpl w:val="6C08F416"/>
    <w:lvl w:ilvl="0" w:tplc="78C6B1E6">
      <w:start w:val="1"/>
      <w:numFmt w:val="lowerLetter"/>
      <w:lvlText w:val="%1."/>
      <w:lvlJc w:val="left"/>
      <w:pPr>
        <w:ind w:left="2520" w:hanging="360"/>
      </w:pPr>
      <w:rPr>
        <w:rFonts w:cs="Times New Roman" w:hint="default"/>
        <w:b/>
      </w:rPr>
    </w:lvl>
    <w:lvl w:ilvl="1" w:tplc="04090019">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6">
    <w:nsid w:val="45CC5C8A"/>
    <w:multiLevelType w:val="hybridMultilevel"/>
    <w:tmpl w:val="BA5E345E"/>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7">
    <w:nsid w:val="4EB946D9"/>
    <w:multiLevelType w:val="hybridMultilevel"/>
    <w:tmpl w:val="88FA7020"/>
    <w:lvl w:ilvl="0" w:tplc="596ABA2A">
      <w:start w:val="2"/>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60876C7E"/>
    <w:multiLevelType w:val="hybridMultilevel"/>
    <w:tmpl w:val="FA6EF8BE"/>
    <w:lvl w:ilvl="0" w:tplc="A92A253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6DC2769B"/>
    <w:multiLevelType w:val="hybridMultilevel"/>
    <w:tmpl w:val="532E8A68"/>
    <w:lvl w:ilvl="0" w:tplc="49269BCC">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
    <w:nsid w:val="710069A6"/>
    <w:multiLevelType w:val="hybridMultilevel"/>
    <w:tmpl w:val="C658B17A"/>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1">
    <w:nsid w:val="710230CC"/>
    <w:multiLevelType w:val="hybridMultilevel"/>
    <w:tmpl w:val="2B9660D4"/>
    <w:lvl w:ilvl="0" w:tplc="2FAAD6F6">
      <w:start w:val="2"/>
      <w:numFmt w:val="low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2">
    <w:nsid w:val="79D41EFD"/>
    <w:multiLevelType w:val="hybridMultilevel"/>
    <w:tmpl w:val="EDBC0A72"/>
    <w:lvl w:ilvl="0" w:tplc="FF783AE0">
      <w:start w:val="1"/>
      <w:numFmt w:val="lowerLetter"/>
      <w:lvlText w:val="%1."/>
      <w:lvlJc w:val="left"/>
      <w:pPr>
        <w:ind w:left="2520" w:hanging="360"/>
      </w:pPr>
      <w:rPr>
        <w:rFonts w:cs="Times New Roman" w:hint="default"/>
        <w:b/>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num w:numId="1">
    <w:abstractNumId w:val="5"/>
  </w:num>
  <w:num w:numId="2">
    <w:abstractNumId w:val="7"/>
  </w:num>
  <w:num w:numId="3">
    <w:abstractNumId w:val="4"/>
  </w:num>
  <w:num w:numId="4">
    <w:abstractNumId w:val="2"/>
  </w:num>
  <w:num w:numId="5">
    <w:abstractNumId w:val="8"/>
  </w:num>
  <w:num w:numId="6">
    <w:abstractNumId w:val="11"/>
  </w:num>
  <w:num w:numId="7">
    <w:abstractNumId w:val="6"/>
  </w:num>
  <w:num w:numId="8">
    <w:abstractNumId w:val="10"/>
  </w:num>
  <w:num w:numId="9">
    <w:abstractNumId w:val="3"/>
  </w:num>
  <w:num w:numId="10">
    <w:abstractNumId w:val="1"/>
  </w:num>
  <w:num w:numId="11">
    <w:abstractNumId w:val="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D31"/>
    <w:rsid w:val="00002913"/>
    <w:rsid w:val="00006698"/>
    <w:rsid w:val="00015B9B"/>
    <w:rsid w:val="000229B1"/>
    <w:rsid w:val="000315D6"/>
    <w:rsid w:val="0003310C"/>
    <w:rsid w:val="00035686"/>
    <w:rsid w:val="00042F87"/>
    <w:rsid w:val="00045CDA"/>
    <w:rsid w:val="00070420"/>
    <w:rsid w:val="00072712"/>
    <w:rsid w:val="0007367E"/>
    <w:rsid w:val="00074E3E"/>
    <w:rsid w:val="00076411"/>
    <w:rsid w:val="000817B5"/>
    <w:rsid w:val="0008351E"/>
    <w:rsid w:val="00083978"/>
    <w:rsid w:val="00097457"/>
    <w:rsid w:val="000B4473"/>
    <w:rsid w:val="000E087E"/>
    <w:rsid w:val="000F296D"/>
    <w:rsid w:val="000F7CE5"/>
    <w:rsid w:val="001006FE"/>
    <w:rsid w:val="00133A90"/>
    <w:rsid w:val="00147E07"/>
    <w:rsid w:val="001661EB"/>
    <w:rsid w:val="00175A81"/>
    <w:rsid w:val="00175EFB"/>
    <w:rsid w:val="00184998"/>
    <w:rsid w:val="00190613"/>
    <w:rsid w:val="001A4D11"/>
    <w:rsid w:val="001A62F8"/>
    <w:rsid w:val="001F2158"/>
    <w:rsid w:val="0020740C"/>
    <w:rsid w:val="00210D87"/>
    <w:rsid w:val="00212FC2"/>
    <w:rsid w:val="00223DC3"/>
    <w:rsid w:val="002517E7"/>
    <w:rsid w:val="002573B3"/>
    <w:rsid w:val="00267DC7"/>
    <w:rsid w:val="00274AFB"/>
    <w:rsid w:val="00283BC8"/>
    <w:rsid w:val="00290EFB"/>
    <w:rsid w:val="00292EC7"/>
    <w:rsid w:val="002A1E82"/>
    <w:rsid w:val="002A3BE1"/>
    <w:rsid w:val="002B2465"/>
    <w:rsid w:val="002B5B3E"/>
    <w:rsid w:val="002D3306"/>
    <w:rsid w:val="002E3BA5"/>
    <w:rsid w:val="002E7D29"/>
    <w:rsid w:val="0031157D"/>
    <w:rsid w:val="0033638D"/>
    <w:rsid w:val="003501CE"/>
    <w:rsid w:val="00354F29"/>
    <w:rsid w:val="00373B41"/>
    <w:rsid w:val="0037689E"/>
    <w:rsid w:val="003910F8"/>
    <w:rsid w:val="003B080A"/>
    <w:rsid w:val="003B2E8F"/>
    <w:rsid w:val="003E5EF3"/>
    <w:rsid w:val="003F76F9"/>
    <w:rsid w:val="00402AE1"/>
    <w:rsid w:val="00411786"/>
    <w:rsid w:val="00411888"/>
    <w:rsid w:val="00422CB6"/>
    <w:rsid w:val="004375BE"/>
    <w:rsid w:val="004572DC"/>
    <w:rsid w:val="00460A4F"/>
    <w:rsid w:val="0048042F"/>
    <w:rsid w:val="00481B7A"/>
    <w:rsid w:val="004867C4"/>
    <w:rsid w:val="00495279"/>
    <w:rsid w:val="004A1786"/>
    <w:rsid w:val="004B2F59"/>
    <w:rsid w:val="004C6419"/>
    <w:rsid w:val="004D06D6"/>
    <w:rsid w:val="004F0927"/>
    <w:rsid w:val="005003B3"/>
    <w:rsid w:val="0050332E"/>
    <w:rsid w:val="00533118"/>
    <w:rsid w:val="00535E86"/>
    <w:rsid w:val="005432A6"/>
    <w:rsid w:val="005614FD"/>
    <w:rsid w:val="00562494"/>
    <w:rsid w:val="00575231"/>
    <w:rsid w:val="0058192E"/>
    <w:rsid w:val="00592784"/>
    <w:rsid w:val="00595822"/>
    <w:rsid w:val="005C5F93"/>
    <w:rsid w:val="005E68B4"/>
    <w:rsid w:val="005E7B83"/>
    <w:rsid w:val="00602B77"/>
    <w:rsid w:val="00603977"/>
    <w:rsid w:val="00607A5E"/>
    <w:rsid w:val="00616C18"/>
    <w:rsid w:val="00620004"/>
    <w:rsid w:val="00626898"/>
    <w:rsid w:val="00630E58"/>
    <w:rsid w:val="0063234F"/>
    <w:rsid w:val="00634584"/>
    <w:rsid w:val="00634EAA"/>
    <w:rsid w:val="00640DD7"/>
    <w:rsid w:val="00642540"/>
    <w:rsid w:val="00660EB3"/>
    <w:rsid w:val="0066494F"/>
    <w:rsid w:val="00664E37"/>
    <w:rsid w:val="006703A9"/>
    <w:rsid w:val="00687799"/>
    <w:rsid w:val="0069020E"/>
    <w:rsid w:val="00697535"/>
    <w:rsid w:val="006B6AEE"/>
    <w:rsid w:val="006C5259"/>
    <w:rsid w:val="006C7B95"/>
    <w:rsid w:val="006D20FD"/>
    <w:rsid w:val="006E4636"/>
    <w:rsid w:val="006F5ACA"/>
    <w:rsid w:val="006F5B78"/>
    <w:rsid w:val="007019A6"/>
    <w:rsid w:val="00756804"/>
    <w:rsid w:val="00776FBA"/>
    <w:rsid w:val="007824C5"/>
    <w:rsid w:val="007B6FB7"/>
    <w:rsid w:val="007D5ADF"/>
    <w:rsid w:val="007D5C3B"/>
    <w:rsid w:val="007E29F2"/>
    <w:rsid w:val="007E3E9E"/>
    <w:rsid w:val="007F2576"/>
    <w:rsid w:val="007F5C93"/>
    <w:rsid w:val="00804D9A"/>
    <w:rsid w:val="00850C12"/>
    <w:rsid w:val="00870977"/>
    <w:rsid w:val="00877A93"/>
    <w:rsid w:val="00886243"/>
    <w:rsid w:val="0088725E"/>
    <w:rsid w:val="008A286A"/>
    <w:rsid w:val="008B14BD"/>
    <w:rsid w:val="008D3722"/>
    <w:rsid w:val="008D70A5"/>
    <w:rsid w:val="008F0DE7"/>
    <w:rsid w:val="009267E4"/>
    <w:rsid w:val="00934E09"/>
    <w:rsid w:val="00935E0E"/>
    <w:rsid w:val="00965C24"/>
    <w:rsid w:val="009675E4"/>
    <w:rsid w:val="0098207F"/>
    <w:rsid w:val="00984EB6"/>
    <w:rsid w:val="009B445C"/>
    <w:rsid w:val="009C31EA"/>
    <w:rsid w:val="009C5FCB"/>
    <w:rsid w:val="009E68B3"/>
    <w:rsid w:val="009F31F9"/>
    <w:rsid w:val="009F7251"/>
    <w:rsid w:val="00A226F8"/>
    <w:rsid w:val="00A22D65"/>
    <w:rsid w:val="00A2763D"/>
    <w:rsid w:val="00A41D7A"/>
    <w:rsid w:val="00A619FE"/>
    <w:rsid w:val="00A62EE9"/>
    <w:rsid w:val="00A7603F"/>
    <w:rsid w:val="00A874DA"/>
    <w:rsid w:val="00A91526"/>
    <w:rsid w:val="00A96547"/>
    <w:rsid w:val="00AB090D"/>
    <w:rsid w:val="00AB1431"/>
    <w:rsid w:val="00AB2412"/>
    <w:rsid w:val="00AB245E"/>
    <w:rsid w:val="00AC052B"/>
    <w:rsid w:val="00AD164D"/>
    <w:rsid w:val="00AD7A13"/>
    <w:rsid w:val="00AF2C3B"/>
    <w:rsid w:val="00B02800"/>
    <w:rsid w:val="00B237E0"/>
    <w:rsid w:val="00B2516D"/>
    <w:rsid w:val="00B43118"/>
    <w:rsid w:val="00B454CD"/>
    <w:rsid w:val="00B73726"/>
    <w:rsid w:val="00B844FB"/>
    <w:rsid w:val="00BB1ABA"/>
    <w:rsid w:val="00BC3FD1"/>
    <w:rsid w:val="00BC6831"/>
    <w:rsid w:val="00BC75FF"/>
    <w:rsid w:val="00BD159A"/>
    <w:rsid w:val="00BD4613"/>
    <w:rsid w:val="00BF3CAD"/>
    <w:rsid w:val="00C04172"/>
    <w:rsid w:val="00C04593"/>
    <w:rsid w:val="00C12D16"/>
    <w:rsid w:val="00C15B7F"/>
    <w:rsid w:val="00C20C40"/>
    <w:rsid w:val="00C26238"/>
    <w:rsid w:val="00C267BC"/>
    <w:rsid w:val="00C42922"/>
    <w:rsid w:val="00C51249"/>
    <w:rsid w:val="00C71FA5"/>
    <w:rsid w:val="00C80E64"/>
    <w:rsid w:val="00C82472"/>
    <w:rsid w:val="00CB560E"/>
    <w:rsid w:val="00CC62B5"/>
    <w:rsid w:val="00CD3C54"/>
    <w:rsid w:val="00CD6EFA"/>
    <w:rsid w:val="00CE5CCA"/>
    <w:rsid w:val="00CE5D31"/>
    <w:rsid w:val="00D051C3"/>
    <w:rsid w:val="00D10147"/>
    <w:rsid w:val="00D17CA9"/>
    <w:rsid w:val="00D3063E"/>
    <w:rsid w:val="00D31C9C"/>
    <w:rsid w:val="00D330F7"/>
    <w:rsid w:val="00D35062"/>
    <w:rsid w:val="00D373F5"/>
    <w:rsid w:val="00D45204"/>
    <w:rsid w:val="00D462EC"/>
    <w:rsid w:val="00D52554"/>
    <w:rsid w:val="00D601CC"/>
    <w:rsid w:val="00D61856"/>
    <w:rsid w:val="00D71612"/>
    <w:rsid w:val="00D7381B"/>
    <w:rsid w:val="00DB2857"/>
    <w:rsid w:val="00DC1E12"/>
    <w:rsid w:val="00DC403E"/>
    <w:rsid w:val="00DC620D"/>
    <w:rsid w:val="00DD1C79"/>
    <w:rsid w:val="00DE4D4D"/>
    <w:rsid w:val="00DF597F"/>
    <w:rsid w:val="00E23673"/>
    <w:rsid w:val="00E4693A"/>
    <w:rsid w:val="00E47D7F"/>
    <w:rsid w:val="00E5317F"/>
    <w:rsid w:val="00E54DAA"/>
    <w:rsid w:val="00E61496"/>
    <w:rsid w:val="00E631DA"/>
    <w:rsid w:val="00E745E6"/>
    <w:rsid w:val="00E85A9D"/>
    <w:rsid w:val="00EA0287"/>
    <w:rsid w:val="00EB3CF2"/>
    <w:rsid w:val="00ED2984"/>
    <w:rsid w:val="00ED7FD9"/>
    <w:rsid w:val="00EE376F"/>
    <w:rsid w:val="00EE458C"/>
    <w:rsid w:val="00EF32B5"/>
    <w:rsid w:val="00F12016"/>
    <w:rsid w:val="00F13016"/>
    <w:rsid w:val="00F142C7"/>
    <w:rsid w:val="00F1770E"/>
    <w:rsid w:val="00F214AD"/>
    <w:rsid w:val="00F37990"/>
    <w:rsid w:val="00F42F61"/>
    <w:rsid w:val="00F71D96"/>
    <w:rsid w:val="00F7229E"/>
    <w:rsid w:val="00F7776A"/>
    <w:rsid w:val="00F90D44"/>
    <w:rsid w:val="00FD548E"/>
    <w:rsid w:val="00FE1732"/>
    <w:rsid w:val="00FE262B"/>
    <w:rsid w:val="00FF090B"/>
    <w:rsid w:val="00FF2B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D42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3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5D31"/>
    <w:pPr>
      <w:ind w:left="720"/>
      <w:contextualSpacing/>
    </w:pPr>
  </w:style>
  <w:style w:type="character" w:styleId="Hyperlink">
    <w:name w:val="Hyperlink"/>
    <w:basedOn w:val="DefaultParagraphFont"/>
    <w:uiPriority w:val="99"/>
    <w:semiHidden/>
    <w:rsid w:val="00CE5D31"/>
    <w:rPr>
      <w:rFonts w:cs="Times New Roman"/>
      <w:color w:val="0000FF"/>
      <w:u w:val="single"/>
    </w:rPr>
  </w:style>
  <w:style w:type="character" w:customStyle="1" w:styleId="commentbody">
    <w:name w:val="commentbody"/>
    <w:basedOn w:val="DefaultParagraphFont"/>
    <w:uiPriority w:val="99"/>
    <w:rsid w:val="00CE5D31"/>
    <w:rPr>
      <w:rFonts w:cs="Times New Roman"/>
    </w:rPr>
  </w:style>
  <w:style w:type="character" w:styleId="CommentReference">
    <w:name w:val="annotation reference"/>
    <w:basedOn w:val="DefaultParagraphFont"/>
    <w:uiPriority w:val="99"/>
    <w:semiHidden/>
    <w:rsid w:val="00CE5D31"/>
    <w:rPr>
      <w:rFonts w:cs="Times New Roman"/>
      <w:sz w:val="16"/>
      <w:szCs w:val="16"/>
    </w:rPr>
  </w:style>
  <w:style w:type="paragraph" w:styleId="CommentText">
    <w:name w:val="annotation text"/>
    <w:basedOn w:val="Normal"/>
    <w:link w:val="CommentTextChar"/>
    <w:uiPriority w:val="99"/>
    <w:semiHidden/>
    <w:rsid w:val="00CE5D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CE5D31"/>
    <w:rPr>
      <w:rFonts w:ascii="Calibri" w:hAnsi="Calibri" w:cs="Times New Roman"/>
      <w:sz w:val="20"/>
      <w:szCs w:val="20"/>
    </w:rPr>
  </w:style>
  <w:style w:type="paragraph" w:styleId="Header">
    <w:name w:val="header"/>
    <w:basedOn w:val="Normal"/>
    <w:link w:val="HeaderChar"/>
    <w:uiPriority w:val="99"/>
    <w:rsid w:val="00CE5D3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E5D31"/>
    <w:rPr>
      <w:rFonts w:ascii="Calibri" w:hAnsi="Calibri" w:cs="Times New Roman"/>
    </w:rPr>
  </w:style>
  <w:style w:type="paragraph" w:styleId="BalloonText">
    <w:name w:val="Balloon Text"/>
    <w:basedOn w:val="Normal"/>
    <w:link w:val="BalloonTextChar"/>
    <w:uiPriority w:val="99"/>
    <w:semiHidden/>
    <w:rsid w:val="00CE5D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5D31"/>
    <w:rPr>
      <w:rFonts w:ascii="Tahoma" w:hAnsi="Tahoma" w:cs="Tahoma"/>
      <w:sz w:val="16"/>
      <w:szCs w:val="16"/>
    </w:rPr>
  </w:style>
  <w:style w:type="paragraph" w:styleId="DocumentMap">
    <w:name w:val="Document Map"/>
    <w:basedOn w:val="Normal"/>
    <w:link w:val="DocumentMapChar"/>
    <w:uiPriority w:val="99"/>
    <w:semiHidden/>
    <w:rsid w:val="0069020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4693A"/>
    <w:rPr>
      <w:rFonts w:ascii="Times New Roman" w:hAnsi="Times New Roman" w:cs="Times New Roman"/>
      <w:sz w:val="2"/>
    </w:rPr>
  </w:style>
  <w:style w:type="paragraph" w:styleId="CommentSubject">
    <w:name w:val="annotation subject"/>
    <w:basedOn w:val="CommentText"/>
    <w:next w:val="CommentText"/>
    <w:link w:val="CommentSubjectChar"/>
    <w:uiPriority w:val="99"/>
    <w:semiHidden/>
    <w:rsid w:val="0069020E"/>
    <w:pPr>
      <w:spacing w:line="276" w:lineRule="auto"/>
    </w:pPr>
    <w:rPr>
      <w:b/>
      <w:bCs/>
    </w:rPr>
  </w:style>
  <w:style w:type="character" w:customStyle="1" w:styleId="CommentSubjectChar">
    <w:name w:val="Comment Subject Char"/>
    <w:basedOn w:val="CommentTextChar"/>
    <w:link w:val="CommentSubject"/>
    <w:uiPriority w:val="99"/>
    <w:semiHidden/>
    <w:locked/>
    <w:rsid w:val="00E4693A"/>
    <w:rPr>
      <w:rFonts w:ascii="Calibri" w:hAnsi="Calibri" w:cs="Times New Roman"/>
      <w:b/>
      <w:bCs/>
      <w:sz w:val="20"/>
      <w:szCs w:val="20"/>
    </w:rPr>
  </w:style>
  <w:style w:type="paragraph" w:styleId="Revision">
    <w:name w:val="Revision"/>
    <w:hidden/>
    <w:uiPriority w:val="99"/>
    <w:semiHidden/>
    <w:rsid w:val="007D5ADF"/>
  </w:style>
  <w:style w:type="character" w:styleId="Emphasis">
    <w:name w:val="Emphasis"/>
    <w:basedOn w:val="DefaultParagraphFont"/>
    <w:uiPriority w:val="99"/>
    <w:qFormat/>
    <w:locked/>
    <w:rsid w:val="008F0DE7"/>
    <w:rPr>
      <w:rFonts w:cs="Times New Roman"/>
      <w:i/>
      <w:iCs/>
    </w:rPr>
  </w:style>
  <w:style w:type="character" w:customStyle="1" w:styleId="cosearchterm">
    <w:name w:val="co_searchterm"/>
    <w:basedOn w:val="DefaultParagraphFont"/>
    <w:uiPriority w:val="99"/>
    <w:rsid w:val="008F0DE7"/>
    <w:rPr>
      <w:rFonts w:cs="Times New Roman"/>
    </w:rPr>
  </w:style>
  <w:style w:type="paragraph" w:styleId="Footer">
    <w:name w:val="footer"/>
    <w:basedOn w:val="Normal"/>
    <w:link w:val="FooterChar"/>
    <w:uiPriority w:val="99"/>
    <w:unhideWhenUsed/>
    <w:rsid w:val="00687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79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3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5D31"/>
    <w:pPr>
      <w:ind w:left="720"/>
      <w:contextualSpacing/>
    </w:pPr>
  </w:style>
  <w:style w:type="character" w:styleId="Hyperlink">
    <w:name w:val="Hyperlink"/>
    <w:basedOn w:val="DefaultParagraphFont"/>
    <w:uiPriority w:val="99"/>
    <w:semiHidden/>
    <w:rsid w:val="00CE5D31"/>
    <w:rPr>
      <w:rFonts w:cs="Times New Roman"/>
      <w:color w:val="0000FF"/>
      <w:u w:val="single"/>
    </w:rPr>
  </w:style>
  <w:style w:type="character" w:customStyle="1" w:styleId="commentbody">
    <w:name w:val="commentbody"/>
    <w:basedOn w:val="DefaultParagraphFont"/>
    <w:uiPriority w:val="99"/>
    <w:rsid w:val="00CE5D31"/>
    <w:rPr>
      <w:rFonts w:cs="Times New Roman"/>
    </w:rPr>
  </w:style>
  <w:style w:type="character" w:styleId="CommentReference">
    <w:name w:val="annotation reference"/>
    <w:basedOn w:val="DefaultParagraphFont"/>
    <w:uiPriority w:val="99"/>
    <w:semiHidden/>
    <w:rsid w:val="00CE5D31"/>
    <w:rPr>
      <w:rFonts w:cs="Times New Roman"/>
      <w:sz w:val="16"/>
      <w:szCs w:val="16"/>
    </w:rPr>
  </w:style>
  <w:style w:type="paragraph" w:styleId="CommentText">
    <w:name w:val="annotation text"/>
    <w:basedOn w:val="Normal"/>
    <w:link w:val="CommentTextChar"/>
    <w:uiPriority w:val="99"/>
    <w:semiHidden/>
    <w:rsid w:val="00CE5D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CE5D31"/>
    <w:rPr>
      <w:rFonts w:ascii="Calibri" w:hAnsi="Calibri" w:cs="Times New Roman"/>
      <w:sz w:val="20"/>
      <w:szCs w:val="20"/>
    </w:rPr>
  </w:style>
  <w:style w:type="paragraph" w:styleId="Header">
    <w:name w:val="header"/>
    <w:basedOn w:val="Normal"/>
    <w:link w:val="HeaderChar"/>
    <w:uiPriority w:val="99"/>
    <w:rsid w:val="00CE5D3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E5D31"/>
    <w:rPr>
      <w:rFonts w:ascii="Calibri" w:hAnsi="Calibri" w:cs="Times New Roman"/>
    </w:rPr>
  </w:style>
  <w:style w:type="paragraph" w:styleId="BalloonText">
    <w:name w:val="Balloon Text"/>
    <w:basedOn w:val="Normal"/>
    <w:link w:val="BalloonTextChar"/>
    <w:uiPriority w:val="99"/>
    <w:semiHidden/>
    <w:rsid w:val="00CE5D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5D31"/>
    <w:rPr>
      <w:rFonts w:ascii="Tahoma" w:hAnsi="Tahoma" w:cs="Tahoma"/>
      <w:sz w:val="16"/>
      <w:szCs w:val="16"/>
    </w:rPr>
  </w:style>
  <w:style w:type="paragraph" w:styleId="DocumentMap">
    <w:name w:val="Document Map"/>
    <w:basedOn w:val="Normal"/>
    <w:link w:val="DocumentMapChar"/>
    <w:uiPriority w:val="99"/>
    <w:semiHidden/>
    <w:rsid w:val="0069020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4693A"/>
    <w:rPr>
      <w:rFonts w:ascii="Times New Roman" w:hAnsi="Times New Roman" w:cs="Times New Roman"/>
      <w:sz w:val="2"/>
    </w:rPr>
  </w:style>
  <w:style w:type="paragraph" w:styleId="CommentSubject">
    <w:name w:val="annotation subject"/>
    <w:basedOn w:val="CommentText"/>
    <w:next w:val="CommentText"/>
    <w:link w:val="CommentSubjectChar"/>
    <w:uiPriority w:val="99"/>
    <w:semiHidden/>
    <w:rsid w:val="0069020E"/>
    <w:pPr>
      <w:spacing w:line="276" w:lineRule="auto"/>
    </w:pPr>
    <w:rPr>
      <w:b/>
      <w:bCs/>
    </w:rPr>
  </w:style>
  <w:style w:type="character" w:customStyle="1" w:styleId="CommentSubjectChar">
    <w:name w:val="Comment Subject Char"/>
    <w:basedOn w:val="CommentTextChar"/>
    <w:link w:val="CommentSubject"/>
    <w:uiPriority w:val="99"/>
    <w:semiHidden/>
    <w:locked/>
    <w:rsid w:val="00E4693A"/>
    <w:rPr>
      <w:rFonts w:ascii="Calibri" w:hAnsi="Calibri" w:cs="Times New Roman"/>
      <w:b/>
      <w:bCs/>
      <w:sz w:val="20"/>
      <w:szCs w:val="20"/>
    </w:rPr>
  </w:style>
  <w:style w:type="paragraph" w:styleId="Revision">
    <w:name w:val="Revision"/>
    <w:hidden/>
    <w:uiPriority w:val="99"/>
    <w:semiHidden/>
    <w:rsid w:val="007D5ADF"/>
  </w:style>
  <w:style w:type="character" w:styleId="Emphasis">
    <w:name w:val="Emphasis"/>
    <w:basedOn w:val="DefaultParagraphFont"/>
    <w:uiPriority w:val="99"/>
    <w:qFormat/>
    <w:locked/>
    <w:rsid w:val="008F0DE7"/>
    <w:rPr>
      <w:rFonts w:cs="Times New Roman"/>
      <w:i/>
      <w:iCs/>
    </w:rPr>
  </w:style>
  <w:style w:type="character" w:customStyle="1" w:styleId="cosearchterm">
    <w:name w:val="co_searchterm"/>
    <w:basedOn w:val="DefaultParagraphFont"/>
    <w:uiPriority w:val="99"/>
    <w:rsid w:val="008F0DE7"/>
    <w:rPr>
      <w:rFonts w:cs="Times New Roman"/>
    </w:rPr>
  </w:style>
  <w:style w:type="paragraph" w:styleId="Footer">
    <w:name w:val="footer"/>
    <w:basedOn w:val="Normal"/>
    <w:link w:val="FooterChar"/>
    <w:uiPriority w:val="99"/>
    <w:unhideWhenUsed/>
    <w:rsid w:val="00687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294322">
      <w:marLeft w:val="0"/>
      <w:marRight w:val="0"/>
      <w:marTop w:val="0"/>
      <w:marBottom w:val="0"/>
      <w:divBdr>
        <w:top w:val="none" w:sz="0" w:space="0" w:color="auto"/>
        <w:left w:val="none" w:sz="0" w:space="0" w:color="auto"/>
        <w:bottom w:val="none" w:sz="0" w:space="0" w:color="auto"/>
        <w:right w:val="none" w:sz="0" w:space="0" w:color="auto"/>
      </w:divBdr>
      <w:divsChild>
        <w:div w:id="632294338">
          <w:marLeft w:val="0"/>
          <w:marRight w:val="0"/>
          <w:marTop w:val="0"/>
          <w:marBottom w:val="0"/>
          <w:divBdr>
            <w:top w:val="none" w:sz="0" w:space="0" w:color="auto"/>
            <w:left w:val="none" w:sz="0" w:space="0" w:color="auto"/>
            <w:bottom w:val="none" w:sz="0" w:space="0" w:color="auto"/>
            <w:right w:val="none" w:sz="0" w:space="0" w:color="auto"/>
          </w:divBdr>
          <w:divsChild>
            <w:div w:id="632294337">
              <w:marLeft w:val="0"/>
              <w:marRight w:val="0"/>
              <w:marTop w:val="0"/>
              <w:marBottom w:val="0"/>
              <w:divBdr>
                <w:top w:val="none" w:sz="0" w:space="0" w:color="auto"/>
                <w:left w:val="none" w:sz="0" w:space="0" w:color="auto"/>
                <w:bottom w:val="none" w:sz="0" w:space="0" w:color="auto"/>
                <w:right w:val="none" w:sz="0" w:space="0" w:color="auto"/>
              </w:divBdr>
              <w:divsChild>
                <w:div w:id="6322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294326">
      <w:marLeft w:val="0"/>
      <w:marRight w:val="0"/>
      <w:marTop w:val="0"/>
      <w:marBottom w:val="0"/>
      <w:divBdr>
        <w:top w:val="none" w:sz="0" w:space="0" w:color="auto"/>
        <w:left w:val="none" w:sz="0" w:space="0" w:color="auto"/>
        <w:bottom w:val="none" w:sz="0" w:space="0" w:color="auto"/>
        <w:right w:val="none" w:sz="0" w:space="0" w:color="auto"/>
      </w:divBdr>
      <w:divsChild>
        <w:div w:id="632294325">
          <w:marLeft w:val="0"/>
          <w:marRight w:val="0"/>
          <w:marTop w:val="0"/>
          <w:marBottom w:val="0"/>
          <w:divBdr>
            <w:top w:val="none" w:sz="0" w:space="0" w:color="auto"/>
            <w:left w:val="none" w:sz="0" w:space="0" w:color="auto"/>
            <w:bottom w:val="none" w:sz="0" w:space="0" w:color="auto"/>
            <w:right w:val="none" w:sz="0" w:space="0" w:color="auto"/>
          </w:divBdr>
          <w:divsChild>
            <w:div w:id="632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94327">
      <w:marLeft w:val="0"/>
      <w:marRight w:val="0"/>
      <w:marTop w:val="0"/>
      <w:marBottom w:val="0"/>
      <w:divBdr>
        <w:top w:val="none" w:sz="0" w:space="0" w:color="auto"/>
        <w:left w:val="none" w:sz="0" w:space="0" w:color="auto"/>
        <w:bottom w:val="none" w:sz="0" w:space="0" w:color="auto"/>
        <w:right w:val="none" w:sz="0" w:space="0" w:color="auto"/>
      </w:divBdr>
      <w:divsChild>
        <w:div w:id="632294323">
          <w:marLeft w:val="0"/>
          <w:marRight w:val="0"/>
          <w:marTop w:val="0"/>
          <w:marBottom w:val="0"/>
          <w:divBdr>
            <w:top w:val="none" w:sz="0" w:space="0" w:color="auto"/>
            <w:left w:val="none" w:sz="0" w:space="0" w:color="auto"/>
            <w:bottom w:val="none" w:sz="0" w:space="0" w:color="auto"/>
            <w:right w:val="none" w:sz="0" w:space="0" w:color="auto"/>
          </w:divBdr>
          <w:divsChild>
            <w:div w:id="63229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94328">
      <w:marLeft w:val="0"/>
      <w:marRight w:val="0"/>
      <w:marTop w:val="0"/>
      <w:marBottom w:val="0"/>
      <w:divBdr>
        <w:top w:val="none" w:sz="0" w:space="0" w:color="auto"/>
        <w:left w:val="none" w:sz="0" w:space="0" w:color="auto"/>
        <w:bottom w:val="none" w:sz="0" w:space="0" w:color="auto"/>
        <w:right w:val="none" w:sz="0" w:space="0" w:color="auto"/>
      </w:divBdr>
      <w:divsChild>
        <w:div w:id="632294335">
          <w:marLeft w:val="0"/>
          <w:marRight w:val="0"/>
          <w:marTop w:val="0"/>
          <w:marBottom w:val="0"/>
          <w:divBdr>
            <w:top w:val="none" w:sz="0" w:space="0" w:color="auto"/>
            <w:left w:val="none" w:sz="0" w:space="0" w:color="auto"/>
            <w:bottom w:val="none" w:sz="0" w:space="0" w:color="auto"/>
            <w:right w:val="none" w:sz="0" w:space="0" w:color="auto"/>
          </w:divBdr>
          <w:divsChild>
            <w:div w:id="6322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94329">
      <w:marLeft w:val="0"/>
      <w:marRight w:val="0"/>
      <w:marTop w:val="0"/>
      <w:marBottom w:val="0"/>
      <w:divBdr>
        <w:top w:val="none" w:sz="0" w:space="0" w:color="auto"/>
        <w:left w:val="none" w:sz="0" w:space="0" w:color="auto"/>
        <w:bottom w:val="none" w:sz="0" w:space="0" w:color="auto"/>
        <w:right w:val="none" w:sz="0" w:space="0" w:color="auto"/>
      </w:divBdr>
      <w:divsChild>
        <w:div w:id="632294334">
          <w:marLeft w:val="0"/>
          <w:marRight w:val="0"/>
          <w:marTop w:val="0"/>
          <w:marBottom w:val="0"/>
          <w:divBdr>
            <w:top w:val="none" w:sz="0" w:space="0" w:color="auto"/>
            <w:left w:val="none" w:sz="0" w:space="0" w:color="auto"/>
            <w:bottom w:val="none" w:sz="0" w:space="0" w:color="auto"/>
            <w:right w:val="none" w:sz="0" w:space="0" w:color="auto"/>
          </w:divBdr>
          <w:divsChild>
            <w:div w:id="63229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94332">
      <w:marLeft w:val="0"/>
      <w:marRight w:val="0"/>
      <w:marTop w:val="0"/>
      <w:marBottom w:val="0"/>
      <w:divBdr>
        <w:top w:val="none" w:sz="0" w:space="0" w:color="auto"/>
        <w:left w:val="none" w:sz="0" w:space="0" w:color="auto"/>
        <w:bottom w:val="none" w:sz="0" w:space="0" w:color="auto"/>
        <w:right w:val="none" w:sz="0" w:space="0" w:color="auto"/>
      </w:divBdr>
      <w:divsChild>
        <w:div w:id="632294336">
          <w:marLeft w:val="0"/>
          <w:marRight w:val="0"/>
          <w:marTop w:val="0"/>
          <w:marBottom w:val="0"/>
          <w:divBdr>
            <w:top w:val="none" w:sz="0" w:space="0" w:color="auto"/>
            <w:left w:val="none" w:sz="0" w:space="0" w:color="auto"/>
            <w:bottom w:val="none" w:sz="0" w:space="0" w:color="auto"/>
            <w:right w:val="none" w:sz="0" w:space="0" w:color="auto"/>
          </w:divBdr>
          <w:divsChild>
            <w:div w:id="63229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94339">
      <w:marLeft w:val="0"/>
      <w:marRight w:val="0"/>
      <w:marTop w:val="0"/>
      <w:marBottom w:val="0"/>
      <w:divBdr>
        <w:top w:val="none" w:sz="0" w:space="0" w:color="auto"/>
        <w:left w:val="none" w:sz="0" w:space="0" w:color="auto"/>
        <w:bottom w:val="none" w:sz="0" w:space="0" w:color="auto"/>
        <w:right w:val="none" w:sz="0" w:space="0" w:color="auto"/>
      </w:divBdr>
      <w:divsChild>
        <w:div w:id="632294341">
          <w:marLeft w:val="0"/>
          <w:marRight w:val="0"/>
          <w:marTop w:val="0"/>
          <w:marBottom w:val="0"/>
          <w:divBdr>
            <w:top w:val="none" w:sz="0" w:space="0" w:color="auto"/>
            <w:left w:val="none" w:sz="0" w:space="0" w:color="auto"/>
            <w:bottom w:val="none" w:sz="0" w:space="0" w:color="auto"/>
            <w:right w:val="none" w:sz="0" w:space="0" w:color="auto"/>
          </w:divBdr>
          <w:divsChild>
            <w:div w:id="6322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erriam-webster.com/dictionary/shall"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4525</Words>
  <Characters>23081</Characters>
  <Application>Microsoft Macintosh Word</Application>
  <DocSecurity>0</DocSecurity>
  <Lines>349</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2012-04-02T15:21:00Z</cp:lastPrinted>
  <dcterms:created xsi:type="dcterms:W3CDTF">2012-04-18T15:08:00Z</dcterms:created>
  <dcterms:modified xsi:type="dcterms:W3CDTF">2012-06-02T13:41:00Z</dcterms:modified>
  <cp:category/>
</cp:coreProperties>
</file>